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24AE" w:rsidRPr="00821F1A" w:rsidRDefault="00690033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4F24AE" w:rsidRPr="00821F1A" w:rsidRDefault="004F24AE" w:rsidP="004F24A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4AE" w:rsidRPr="00821F1A" w:rsidRDefault="00690033" w:rsidP="004F24A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08.10</w:t>
      </w:r>
      <w:r w:rsidR="009D7310">
        <w:rPr>
          <w:rFonts w:ascii="Times New Roman" w:eastAsia="Times New Roman" w:hAnsi="Times New Roman"/>
          <w:sz w:val="26"/>
          <w:szCs w:val="26"/>
          <w:lang w:eastAsia="ru-RU"/>
        </w:rPr>
        <w:t>.2014</w:t>
      </w:r>
      <w:r w:rsidR="004F24AE"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95707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32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-п</w:t>
      </w:r>
      <w:r w:rsidR="004F24AE" w:rsidRPr="00821F1A">
        <w:rPr>
          <w:rFonts w:ascii="Times New Roman" w:eastAsia="Times New Roman" w:hAnsi="Times New Roman"/>
          <w:sz w:val="26"/>
          <w:szCs w:val="26"/>
          <w:lang w:eastAsia="ru-RU"/>
        </w:rPr>
        <w:t>а</w:t>
      </w:r>
    </w:p>
    <w:p w:rsidR="004F24AE" w:rsidRPr="00821F1A" w:rsidRDefault="004F24AE" w:rsidP="004F24A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3641A" w:rsidRDefault="00F3641A" w:rsidP="00F3641A">
      <w:pPr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063" w:rsidRDefault="002C5063" w:rsidP="00F3641A">
      <w:pPr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707A" w:rsidRPr="0095707A" w:rsidRDefault="0095707A" w:rsidP="0095707A">
      <w:pPr>
        <w:spacing w:line="240" w:lineRule="exact"/>
        <w:ind w:right="5245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О Совете при главе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Нижнепронге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ского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евского муниципального района по противодействию коррупции</w:t>
      </w:r>
    </w:p>
    <w:p w:rsidR="0095707A" w:rsidRPr="0095707A" w:rsidRDefault="0095707A" w:rsidP="0095707A">
      <w:pPr>
        <w:spacing w:line="240" w:lineRule="exact"/>
        <w:ind w:right="5245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spacing w:line="240" w:lineRule="exact"/>
        <w:ind w:right="5245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gram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В целях реализации антикоррупционной политики на территории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ж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непронгенского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муниципального района, ос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у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ществления взаимодействия органов местного самоуправления с территориальн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ы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ми органами федеральных органов исполнительной власти, органами госуда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р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ственной власти Хабаровского края по созданию системы противодействия ко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р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рупции в соответствии с Указом Президента Российской Федерации от 19 мая </w:t>
      </w:r>
      <w:smartTag w:uri="urn:schemas-microsoft-com:office:smarttags" w:element="metricconverter">
        <w:smartTagPr>
          <w:attr w:name="ProductID" w:val="2008 г"/>
        </w:smartTagPr>
        <w:r w:rsidRPr="0095707A">
          <w:rPr>
            <w:rFonts w:ascii="Times New Roman" w:eastAsia="Times New Roman" w:hAnsi="Times New Roman"/>
            <w:sz w:val="26"/>
            <w:szCs w:val="20"/>
            <w:lang w:eastAsia="ru-RU"/>
          </w:rPr>
          <w:t>2008 г</w:t>
        </w:r>
      </w:smartTag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. № 815 "О мерах по противодействию коррупции" и Национальным планом пр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тиводействия коррупции, утвержденным Президентом</w:t>
      </w:r>
      <w:proofErr w:type="gram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Российской Федерации 31 июля </w:t>
      </w:r>
      <w:smartTag w:uri="urn:schemas-microsoft-com:office:smarttags" w:element="metricconverter">
        <w:smartTagPr>
          <w:attr w:name="ProductID" w:val="2008 г"/>
        </w:smartTagPr>
        <w:r w:rsidRPr="0095707A">
          <w:rPr>
            <w:rFonts w:ascii="Times New Roman" w:eastAsia="Times New Roman" w:hAnsi="Times New Roman"/>
            <w:sz w:val="26"/>
            <w:szCs w:val="20"/>
            <w:lang w:eastAsia="ru-RU"/>
          </w:rPr>
          <w:t>2008 г</w:t>
        </w:r>
      </w:smartTag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. № Пр-1568,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95707A">
          <w:rPr>
            <w:rFonts w:ascii="Times New Roman" w:eastAsia="Times New Roman" w:hAnsi="Times New Roman"/>
            <w:sz w:val="26"/>
            <w:szCs w:val="20"/>
            <w:lang w:eastAsia="ru-RU"/>
          </w:rPr>
          <w:t>2008 г</w:t>
        </w:r>
      </w:smartTag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. № 273-ФЗ "О противодействии коррупции", администрация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ления</w:t>
      </w:r>
    </w:p>
    <w:p w:rsidR="0095707A" w:rsidRPr="0095707A" w:rsidRDefault="0095707A" w:rsidP="0095707A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ПОСТАНОВЛЯЕТ: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1. Образовать Совет при главе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колаевского муниципального района по противодействию коррупции.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2. Утвердить прилагаемые: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2.1. Положение о Совете при главе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муниципального района по противодействию коррупции.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2.2. Состав Совета при главе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колаевского муниципального района по противодействию коррупции.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3. Опубликовать настоящее постановление в «Сборнике нормативных пр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вовых актов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поселения».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4. Настоящее постановление вступает в силу со дня его опубликования (о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б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народования).</w:t>
      </w:r>
    </w:p>
    <w:p w:rsidR="0095707A" w:rsidRPr="0095707A" w:rsidRDefault="0095707A" w:rsidP="0095707A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И.о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. главы администрации                                                                         Е.А.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Легачева</w:t>
      </w:r>
      <w:proofErr w:type="spellEnd"/>
    </w:p>
    <w:p w:rsidR="0095707A" w:rsidRPr="0095707A" w:rsidRDefault="0095707A" w:rsidP="0095707A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br w:type="page"/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>УТВЕРЖДЕНО</w:t>
      </w:r>
    </w:p>
    <w:p w:rsidR="0095707A" w:rsidRPr="0095707A" w:rsidRDefault="0095707A" w:rsidP="0095707A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постановлением администрации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ж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непронгенского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</w:t>
      </w:r>
    </w:p>
    <w:p w:rsidR="0095707A" w:rsidRPr="0095707A" w:rsidRDefault="0095707A" w:rsidP="0095707A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от  08.10.2014           № 32-па</w:t>
      </w:r>
    </w:p>
    <w:p w:rsidR="0095707A" w:rsidRPr="0095707A" w:rsidRDefault="0095707A" w:rsidP="0095707A">
      <w:pPr>
        <w:ind w:left="576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ПОЛОЖЕНИЕ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br/>
        <w:t xml:space="preserve">о Совете при главе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ципального района по противодействию коррупции</w:t>
      </w:r>
    </w:p>
    <w:p w:rsidR="0095707A" w:rsidRPr="0095707A" w:rsidRDefault="0095707A" w:rsidP="0095707A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1. Общее положение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1.1. </w:t>
      </w:r>
      <w:proofErr w:type="gram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Настоящее Положение о Совете при главе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го поселения Николаевского муниципального района по противодействию корру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п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ции (далее – Положение) определяет в соответствии с Уставом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муниципального района Хабаровского края задачи и компетенцию Совета при главе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муниципального района по противодействию коррупции по реал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зации Указа Президента Российской Федерации от 19 мая 2008 года № 815 "О м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рах по</w:t>
      </w:r>
      <w:proofErr w:type="gram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противодействию коррупции" и Национального плана противодействия коррупции, утвержденного Президентом Российской Федерации 31 июля </w:t>
      </w:r>
      <w:smartTag w:uri="urn:schemas-microsoft-com:office:smarttags" w:element="metricconverter">
        <w:smartTagPr>
          <w:attr w:name="ProductID" w:val="2008 г"/>
        </w:smartTagPr>
        <w:r w:rsidRPr="0095707A">
          <w:rPr>
            <w:rFonts w:ascii="Times New Roman" w:eastAsia="Times New Roman" w:hAnsi="Times New Roman"/>
            <w:sz w:val="26"/>
            <w:szCs w:val="20"/>
            <w:lang w:eastAsia="ru-RU"/>
          </w:rPr>
          <w:t>2008 г</w:t>
        </w:r>
      </w:smartTag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., Федеральным законом от 25 мая </w:t>
      </w:r>
      <w:smartTag w:uri="urn:schemas-microsoft-com:office:smarttags" w:element="metricconverter">
        <w:smartTagPr>
          <w:attr w:name="ProductID" w:val="2008 г"/>
        </w:smartTagPr>
        <w:r w:rsidRPr="0095707A">
          <w:rPr>
            <w:rFonts w:ascii="Times New Roman" w:eastAsia="Times New Roman" w:hAnsi="Times New Roman"/>
            <w:sz w:val="26"/>
            <w:szCs w:val="20"/>
            <w:lang w:eastAsia="ru-RU"/>
          </w:rPr>
          <w:t>2008 г</w:t>
        </w:r>
      </w:smartTag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. № 273-ФЗ "О противодействии корру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п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ции".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1.2. </w:t>
      </w:r>
      <w:proofErr w:type="gram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Совет при главе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го муниципального района по противодействию коррупции (далее - Совет) в своей деятельности руководствуется Конституцией Российской Федерации, федеральн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ы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ми законами, указами и распоряжениями Президента Российской Федерации, п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становлениями и распоряжениями Правительства РФ, Губернатора и Правител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ь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ства Хабаровского края, законами Хабаровского края, Уставом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Нижнепронгенск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муниципального района, муниципальными правовыми актами, а также настоящим Положением.</w:t>
      </w:r>
      <w:proofErr w:type="gramEnd"/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1.3. Совет является коллегиальным совещательным органом, деятельность которого направлена на осуществление взаимодействия на территории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ж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непронгенского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муниципального района орг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нов местного самоуправления и общественных объединений по противодействию коррупции.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1.4. Совет оказывает содействие главе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ления Николаевского муниципального района и администрации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Нижнепронгенск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муниципального района в вопросах реал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зации государственной антикоррупционной политики и мер по противодействию коррупции на территории сельского поселения.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1.5. Положение о Совете, его состав утверждаются постановлением админ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страции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муниципального района. Совет возглавляет глава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евского муниципального района.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1.6. Состав Совета формируется из представителей администрации сельского поселения, органа местного самоуправления поселения, учреждений и организ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>ций, в ведении которых находятся вопросы законности и правопорядка, социально-экономического состояния общества, противодействия коррупции, а также пре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д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ставителей общественности сельского поселения.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1.7. Для обеспечения деятельности Совета по решению председателя Совета, для изучения, анализа и подготовки экспертного заключения по рассматриваемым вопросам, к работе Совета могут привлекаться эксперты, специалисты-консультанты.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Решение о привлечении экспертов, специалистов-консультантов принимает председатель Совета.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2. Основные цели и задачи Совета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2.1. Основной целью Совета является содействие выработке единой террит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риальной системы декриминализации социально-экономических отраслей хозя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й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ствования и управления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муниципального района в рамках противодействия коррупции.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2.2. Выработка предложений и содействие в реализации мероприятий по предупреждению, пресечению и устранению причин и условий, способствующих возникновению коррупции, укреплению законности и правопорядка.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2.3. Содействие в реализации органами местного самоуправления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ж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непронгенского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муниципального района во взаимодействии с территориальными органами федеральных органов исполнител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ь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ной власти, исполнительными органами государственной </w:t>
      </w:r>
      <w:proofErr w:type="gram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власти Хабаровского края Национального плана противодействия коррупции</w:t>
      </w:r>
      <w:proofErr w:type="gram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и территориальной ант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коррупционной политики.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2.4. Обеспечение взаимодействия органов местного самоуправления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ж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непронгенского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муниципального района с территориальными исполнительными органами государственной власти края и ф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деральных органов власти, а также заинтересованными организациями и общ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ственными объединениями в противодействии коррупции.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2.5. Выработка оптимальных механизмов защиты от проникновения корру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п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ции в органы местного самоуправления с учетом их специфики, снижению в них коррупционных рисков.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2.6. Содействие созданию единой территориальной системы антикоррупц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онной пропаганды, мониторинга и информирования населения по проблемам ко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р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рупции. Привлечение общественности и СМИ к формированию у граждан, гос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у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дарственных и муниципальных служащих антикоррупционного поведения, нете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р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пимого отношения к коррупции.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2.7. Контроль в пределах своей компетенции за ходом выполнения меропр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ятий в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Нижнепронгенском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сельском поселении Николаевского муниципального района по реализации мероприятий противодействия коррупции.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3. Функции Совета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3.1. Содействие реализации территориальной государственной антикорру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п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ционной политики в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Нижнепронгенском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сельском поселении Николаевского мун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ципального района.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 xml:space="preserve">3.2. Содействие в разработке направлений, форм и методов территориальной антикоррупционной политики, </w:t>
      </w:r>
      <w:proofErr w:type="gram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контролю за</w:t>
      </w:r>
      <w:proofErr w:type="gram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реализацией плана по противоде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й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ствию коррупции на территории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евского муниципального района.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3.3. Содействие развитию общественного </w:t>
      </w:r>
      <w:proofErr w:type="gram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контроля за</w:t>
      </w:r>
      <w:proofErr w:type="gram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реализацией террит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риальной и ведомственных антикоррупционных программ. Поддержка обществе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ных объединений, деятельность которых направлена на противодействие корру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п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ции, укрепление законности и правопорядка.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3.4. Рассмотрение результатов антикоррупционной экспертизы проектов м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у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ниципальных правовых актов в соответствии с действующим законодательством.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3.5. Содействие в организации и проведении антикоррупционного монит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ринга осуществления наблюдения, анализа, оценки и прогноза коррупционных факторов, а также мер антикоррупционной политики.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3.6. Выработка рекомендаций по организации мероприятий: в области пр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свещения и агитации населения, государственных и муниципальных служащих в части противодействия коррупции; по взаимодействию со СМИ и общественн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стью по формированию нетерпимого отношения к коррупции.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3.7. Осуществление в пределах своей компетенции анализа функций, реал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зуемых территориальными органами федеральных органов исполнительной власти, органами государственной власти Хабаровского края и органами местного сам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управления по соответствующим направлениям антикоррупционной деятельности.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3.8. Организация по мере необходимости подготовки и предоставление отч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тов, информации, сообщений о состоянии работы и реализации мероприятий по противодействию коррупции в правительство Хабаровского края, администрацию Николаевского муниципального района, в федеральные органы государственной власти.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3.9. Обеспечение рассмотрения вопросов и предложений, направленных на противодействие коррупции в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Нижнепронгенском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сельском поселении Николае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в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ского муниципального районе на своих заседаниях.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3.10. Осуществление иных функций в соответствии с задачами Совета, в ч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сти создания условий по обеспечению законности и правопорядка, соблюдения прав и свобод граждан в рамках противодействия коррупции.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4. Полномочия Совета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Совет при осуществлении своей деятельности вправе: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4.1. Запрашивать и получать в установленном порядке от государственных органов, органов местного самоуправления, предприятий, учреждений и организ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ций информацию, необходимую для осуществления своих функций.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4.2. Приглашать на свои заседания и заслушивать представителей госуда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р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ственных органов, общественных объединений, научных и других организаций.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4.3. Направлять в установленном порядке своих представителей для участия в совещаниях, конференциях и семинарах по вопросам, связанным с противоде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й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ствием коррупции, проводимых федеральными органами государственной власти, органами государственной власти Хабаровского края, органами местного сам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управления, общественными объединениями, научными и другими организациями.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>4.4. Привлекать в установленном порядке для информационно-аналитических и экспертных работ научные и иные организации, а также ученых и специалистов, экспертов.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Формировать постоянные и временные рабочие, экспертные группы и к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миссии.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4.5. Использовать в установленном порядке информацию исполнительных органов государственной власти, государственных учреждений, организаций и предприятий.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4.6. Вносить на рассмотрение главы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ния Николаевского муниципального района, Совета депутатов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муниципального района, исполнительных 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р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ганов государственной власти предложения для формирования системы мер, направленных на реализацию мероприятий по противодействию коррупции.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5. Порядок работы Совета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5.1. Основной формой работы Совета являются заседания, проводимые с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гласно плану работы Совета, который рассматривается на заседании Совета и утверждается председателем Совета.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5.2. Заседания Совета проводятся по мере необходимости, но не реже 1 раза в квартал на основании плана его заседаний. Внеплановые заседания Совета пр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водятся по инициативе любого из его членов.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5.3. Заседание Совета ведет председатель Совета или по его поручению з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меститель председателя Совета.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5.4. Заседание Совета правомочно, если на нем присутствует более полов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ны от общего числа членов Совета, приглашенных для рассмотрения данного в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проса повестки дня. Решения Совета принимаются простым большинством голосов присутствующих на заседании членов Совета путем открытого голосования. В сл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у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чае равенства голосов решающим является голос председательствующего.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5.5. Подготовка материалов к заседанию Совета осуществляется представ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телем тех органов и организаций, к ведению которых относятся вопросы повестки дня. Орган или организация, указанные в качестве исполнителя первыми, орган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зационно обеспечивает подготовку вопроса к рассмотрению на заседании Совета: готовит обобщенную справку (доклад), проект решения Совета на основе соглас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ванных предложений заинтересованных учреждений, подразделений, организаций, списки приглашенных и выступающих должностных лиц, другие документы. И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формационно-справочные материалы и проект решения по рассматриваемому в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просу представляются секретарю Совета не позднее, чем за 7 рабочих дней до дня проведения заседания Совета.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5.6. Заседание Совета оформляется протоколом, который подписывается председателем. В протоколе отражаются решения, принятые Советом.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5.7. Организацию заседаний Совета и обеспечение подготовки проектов его решений осуществляет секретарь Совета.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6. Председатель Совета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6.1. Формирует на основе планов заседаний Совета и предложений членов Совета повестку дня его заседаний.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>6.2. Формирует на основе предложений членов Совета план работы Совета.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6.3. Осуществляет руководство работой Совета в период его заседания, 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б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щий </w:t>
      </w:r>
      <w:proofErr w:type="gram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контроль за</w:t>
      </w:r>
      <w:proofErr w:type="gram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реализацией решений Совета через секретаря, членов Совета.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6.4. Подписывает протоколы заседаний Совета.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6.5. Дает поручения в сфере деятельности Совета, через секретаря Совета осуществляет контроль по их выполнению.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6.6. Представляет Совет по вопросам, относящимся к его компетенции.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7. Секретарь Совета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7.1. Организует работу по подготовке проектов плана работы, заседаний С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вета, вносит предложения по формированию повестки дня его заседаний. Коорд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нирует деятельность по подготовке необходимых материалов к заседаниям Совета, а также проектов решений, ведет протоколы заседаний Совета.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7.2. Информирует председателя и членов Совета о состоянии реализации решений Совета.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7.3. Организует выполнение поручений председателя Совета, относящихся к рассматриваемым на заседаниях Совета вопросам.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7.4. Оформляет протоколы заседаний Совета.</w:t>
      </w:r>
    </w:p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7.5. Решает организационно-технические вопросы по подготовке и провед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нию заседаний Совета, информирует членов Совета, экспертов, иных заинтерес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ванных лиц о месте, времени проведения и повестке дня заседания Совета.</w:t>
      </w:r>
    </w:p>
    <w:p w:rsidR="0095707A" w:rsidRPr="0095707A" w:rsidRDefault="0095707A" w:rsidP="0095707A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br w:type="page"/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>УТВЕРЖДЕН</w:t>
      </w:r>
    </w:p>
    <w:p w:rsidR="0095707A" w:rsidRPr="0095707A" w:rsidRDefault="0095707A" w:rsidP="0095707A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постановлением администрации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ж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непронгенского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</w:t>
      </w:r>
    </w:p>
    <w:p w:rsidR="0095707A" w:rsidRPr="0095707A" w:rsidRDefault="0095707A" w:rsidP="0095707A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от 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08.10.2014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№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32-па</w:t>
      </w:r>
    </w:p>
    <w:p w:rsidR="0095707A" w:rsidRPr="0095707A" w:rsidRDefault="0095707A" w:rsidP="0095707A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5707A" w:rsidRPr="0095707A" w:rsidRDefault="0095707A" w:rsidP="0095707A">
      <w:pPr>
        <w:spacing w:line="240" w:lineRule="exact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СОСТАВ</w:t>
      </w:r>
    </w:p>
    <w:p w:rsidR="0095707A" w:rsidRPr="0095707A" w:rsidRDefault="0095707A" w:rsidP="0095707A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bookmarkStart w:id="0" w:name="_GoBack"/>
      <w:bookmarkEnd w:id="0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br/>
        <w:t xml:space="preserve">совета при главе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</w:t>
      </w:r>
    </w:p>
    <w:p w:rsidR="0095707A" w:rsidRPr="0095707A" w:rsidRDefault="0095707A" w:rsidP="0095707A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муниципального района по противодействию коррупции</w:t>
      </w:r>
    </w:p>
    <w:p w:rsidR="0095707A" w:rsidRPr="0095707A" w:rsidRDefault="0095707A" w:rsidP="0095707A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tbl>
      <w:tblPr>
        <w:tblW w:w="9360" w:type="dxa"/>
        <w:jc w:val="center"/>
        <w:tblInd w:w="-2125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25"/>
        <w:gridCol w:w="143"/>
        <w:gridCol w:w="6592"/>
      </w:tblGrid>
      <w:tr w:rsidR="0095707A" w:rsidRPr="0095707A" w:rsidTr="005A153C">
        <w:trPr>
          <w:cantSplit/>
          <w:jc w:val="center"/>
        </w:trPr>
        <w:tc>
          <w:tcPr>
            <w:tcW w:w="2625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Миньков Александр Борисович</w:t>
            </w:r>
          </w:p>
        </w:tc>
        <w:tc>
          <w:tcPr>
            <w:tcW w:w="143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-</w:t>
            </w:r>
          </w:p>
        </w:tc>
        <w:tc>
          <w:tcPr>
            <w:tcW w:w="6592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глава </w:t>
            </w:r>
            <w:proofErr w:type="spellStart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Нижнепронгенского</w:t>
            </w:r>
            <w:proofErr w:type="spellEnd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сельского поселения Николае</w:t>
            </w: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в</w:t>
            </w: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ского муниципального района, председатель Совета</w:t>
            </w:r>
          </w:p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95707A" w:rsidRPr="0095707A" w:rsidTr="005A153C">
        <w:trPr>
          <w:cantSplit/>
          <w:jc w:val="center"/>
        </w:trPr>
        <w:tc>
          <w:tcPr>
            <w:tcW w:w="2625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Ульянова Наталья Владимировна</w:t>
            </w:r>
          </w:p>
        </w:tc>
        <w:tc>
          <w:tcPr>
            <w:tcW w:w="143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-</w:t>
            </w:r>
          </w:p>
        </w:tc>
        <w:tc>
          <w:tcPr>
            <w:tcW w:w="6592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главный бухгалтер администрации </w:t>
            </w:r>
            <w:proofErr w:type="spellStart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Нижнепронгенского</w:t>
            </w:r>
            <w:proofErr w:type="spellEnd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сельского поселения Николаевского муниципального района, заместитель председателя Совета</w:t>
            </w:r>
          </w:p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95707A" w:rsidRPr="0095707A" w:rsidTr="005A153C">
        <w:trPr>
          <w:cantSplit/>
          <w:jc w:val="center"/>
        </w:trPr>
        <w:tc>
          <w:tcPr>
            <w:tcW w:w="2625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Легачева</w:t>
            </w:r>
            <w:proofErr w:type="spellEnd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Елена </w:t>
            </w:r>
          </w:p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Анатольевна</w:t>
            </w:r>
          </w:p>
        </w:tc>
        <w:tc>
          <w:tcPr>
            <w:tcW w:w="143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-</w:t>
            </w:r>
          </w:p>
        </w:tc>
        <w:tc>
          <w:tcPr>
            <w:tcW w:w="6592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специалист </w:t>
            </w:r>
            <w:r w:rsidRPr="0095707A">
              <w:rPr>
                <w:rFonts w:ascii="Times New Roman" w:eastAsia="Times New Roman" w:hAnsi="Times New Roman"/>
                <w:sz w:val="26"/>
                <w:szCs w:val="20"/>
                <w:lang w:val="en-US" w:eastAsia="ru-RU"/>
              </w:rPr>
              <w:t>II</w:t>
            </w: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категории администрации </w:t>
            </w:r>
            <w:proofErr w:type="spellStart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Нижнепронге</w:t>
            </w: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н</w:t>
            </w: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ского</w:t>
            </w:r>
            <w:proofErr w:type="spellEnd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сельского поселения Николаевского муниципальн</w:t>
            </w: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о</w:t>
            </w: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го района, секретарь Совета</w:t>
            </w:r>
          </w:p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95707A" w:rsidRPr="0095707A" w:rsidTr="005A153C">
        <w:trPr>
          <w:cantSplit/>
          <w:jc w:val="center"/>
        </w:trPr>
        <w:tc>
          <w:tcPr>
            <w:tcW w:w="2625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Члены Совета:</w:t>
            </w:r>
          </w:p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143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6592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95707A" w:rsidRPr="0095707A" w:rsidTr="005A153C">
        <w:trPr>
          <w:cantSplit/>
          <w:jc w:val="center"/>
        </w:trPr>
        <w:tc>
          <w:tcPr>
            <w:tcW w:w="2625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Ананьева Валентина</w:t>
            </w:r>
          </w:p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Ивановна</w:t>
            </w:r>
          </w:p>
        </w:tc>
        <w:tc>
          <w:tcPr>
            <w:tcW w:w="143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-</w:t>
            </w:r>
          </w:p>
        </w:tc>
        <w:tc>
          <w:tcPr>
            <w:tcW w:w="6592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заведующий МКДОУ Детский сад № 22 «Теремок» (по согласованию)</w:t>
            </w:r>
          </w:p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95707A" w:rsidRPr="0095707A" w:rsidTr="005A153C">
        <w:trPr>
          <w:cantSplit/>
          <w:jc w:val="center"/>
        </w:trPr>
        <w:tc>
          <w:tcPr>
            <w:tcW w:w="2625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Буравицына</w:t>
            </w:r>
            <w:proofErr w:type="spellEnd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Надежда Анатольевна</w:t>
            </w:r>
          </w:p>
        </w:tc>
        <w:tc>
          <w:tcPr>
            <w:tcW w:w="143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-</w:t>
            </w:r>
          </w:p>
        </w:tc>
        <w:tc>
          <w:tcPr>
            <w:tcW w:w="6592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заведующий библиотекой п. </w:t>
            </w:r>
            <w:proofErr w:type="gramStart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Нижнее</w:t>
            </w:r>
            <w:proofErr w:type="gramEnd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</w:t>
            </w:r>
            <w:proofErr w:type="spellStart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Пронге</w:t>
            </w:r>
            <w:proofErr w:type="spellEnd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, депутат С</w:t>
            </w: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о</w:t>
            </w: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вета депутатов (по согласованию) </w:t>
            </w:r>
          </w:p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95707A" w:rsidRPr="0095707A" w:rsidTr="005A153C">
        <w:trPr>
          <w:cantSplit/>
          <w:jc w:val="center"/>
        </w:trPr>
        <w:tc>
          <w:tcPr>
            <w:tcW w:w="2625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Легачев</w:t>
            </w:r>
            <w:proofErr w:type="spellEnd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Денис</w:t>
            </w:r>
          </w:p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Петрович</w:t>
            </w:r>
          </w:p>
        </w:tc>
        <w:tc>
          <w:tcPr>
            <w:tcW w:w="143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-</w:t>
            </w:r>
          </w:p>
        </w:tc>
        <w:tc>
          <w:tcPr>
            <w:tcW w:w="6592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специалист администрации </w:t>
            </w:r>
            <w:proofErr w:type="spellStart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Нижнепронгенского</w:t>
            </w:r>
            <w:proofErr w:type="spellEnd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сельского поселения</w:t>
            </w:r>
          </w:p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95707A" w:rsidRPr="0095707A" w:rsidTr="005A153C">
        <w:trPr>
          <w:cantSplit/>
          <w:jc w:val="center"/>
        </w:trPr>
        <w:tc>
          <w:tcPr>
            <w:tcW w:w="2625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Надховская</w:t>
            </w:r>
            <w:proofErr w:type="spellEnd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143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-</w:t>
            </w:r>
          </w:p>
        </w:tc>
        <w:tc>
          <w:tcPr>
            <w:tcW w:w="6592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учитель МКОУ ООШ п. </w:t>
            </w:r>
            <w:proofErr w:type="gramStart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Нижнее</w:t>
            </w:r>
            <w:proofErr w:type="gramEnd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</w:t>
            </w:r>
            <w:proofErr w:type="spellStart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Пронге</w:t>
            </w:r>
            <w:proofErr w:type="spellEnd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, депутат Совета депутатов (по согласованию)</w:t>
            </w:r>
          </w:p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</w:t>
            </w:r>
          </w:p>
        </w:tc>
      </w:tr>
      <w:tr w:rsidR="0095707A" w:rsidRPr="0095707A" w:rsidTr="005A153C">
        <w:trPr>
          <w:cantSplit/>
          <w:jc w:val="center"/>
        </w:trPr>
        <w:tc>
          <w:tcPr>
            <w:tcW w:w="2625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Поничев</w:t>
            </w:r>
            <w:proofErr w:type="spellEnd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Петр</w:t>
            </w:r>
          </w:p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Иванович</w:t>
            </w:r>
          </w:p>
        </w:tc>
        <w:tc>
          <w:tcPr>
            <w:tcW w:w="143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-</w:t>
            </w:r>
          </w:p>
        </w:tc>
        <w:tc>
          <w:tcPr>
            <w:tcW w:w="6592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генеральный директор ООО «ЖКХ Нижнее </w:t>
            </w:r>
            <w:proofErr w:type="spellStart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Пронге</w:t>
            </w:r>
            <w:proofErr w:type="spellEnd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» (по согласованию)</w:t>
            </w:r>
          </w:p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</w:t>
            </w:r>
          </w:p>
        </w:tc>
      </w:tr>
      <w:tr w:rsidR="0095707A" w:rsidRPr="0095707A" w:rsidTr="005A153C">
        <w:trPr>
          <w:cantSplit/>
          <w:jc w:val="center"/>
        </w:trPr>
        <w:tc>
          <w:tcPr>
            <w:tcW w:w="2625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Секан</w:t>
            </w:r>
            <w:proofErr w:type="spellEnd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Марина</w:t>
            </w:r>
          </w:p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Николаевна</w:t>
            </w:r>
          </w:p>
        </w:tc>
        <w:tc>
          <w:tcPr>
            <w:tcW w:w="143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-</w:t>
            </w:r>
          </w:p>
        </w:tc>
        <w:tc>
          <w:tcPr>
            <w:tcW w:w="6592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заведующий клубом с. </w:t>
            </w:r>
            <w:proofErr w:type="spellStart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Алеевка</w:t>
            </w:r>
            <w:proofErr w:type="spellEnd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(по согласованию) </w:t>
            </w:r>
          </w:p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95707A" w:rsidRPr="0095707A" w:rsidTr="005A153C">
        <w:trPr>
          <w:cantSplit/>
          <w:jc w:val="center"/>
        </w:trPr>
        <w:tc>
          <w:tcPr>
            <w:tcW w:w="2625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Секан</w:t>
            </w:r>
            <w:proofErr w:type="spellEnd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Олеся </w:t>
            </w:r>
          </w:p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Николаевна</w:t>
            </w:r>
          </w:p>
        </w:tc>
        <w:tc>
          <w:tcPr>
            <w:tcW w:w="143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-</w:t>
            </w:r>
          </w:p>
        </w:tc>
        <w:tc>
          <w:tcPr>
            <w:tcW w:w="6592" w:type="dxa"/>
            <w:shd w:val="clear" w:color="auto" w:fill="auto"/>
          </w:tcPr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директор МКОУ ООШ п. </w:t>
            </w:r>
            <w:proofErr w:type="gramStart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Нижнее</w:t>
            </w:r>
            <w:proofErr w:type="gramEnd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</w:t>
            </w:r>
            <w:proofErr w:type="spellStart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Пронге</w:t>
            </w:r>
            <w:proofErr w:type="spellEnd"/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(по согласов</w:t>
            </w: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а</w:t>
            </w:r>
            <w:r w:rsidRPr="0095707A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нию)</w:t>
            </w:r>
          </w:p>
          <w:p w:rsidR="0095707A" w:rsidRPr="0095707A" w:rsidRDefault="0095707A" w:rsidP="0095707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</w:tbl>
    <w:p w:rsidR="0095707A" w:rsidRPr="0095707A" w:rsidRDefault="0095707A" w:rsidP="0095707A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C5063" w:rsidRDefault="002C5063" w:rsidP="00F3641A">
      <w:pPr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C5063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4E" w:rsidRDefault="00270E4E">
      <w:r>
        <w:separator/>
      </w:r>
    </w:p>
  </w:endnote>
  <w:endnote w:type="continuationSeparator" w:id="0">
    <w:p w:rsidR="00270E4E" w:rsidRDefault="0027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4E" w:rsidRDefault="00270E4E">
      <w:r>
        <w:separator/>
      </w:r>
    </w:p>
  </w:footnote>
  <w:footnote w:type="continuationSeparator" w:id="0">
    <w:p w:rsidR="00270E4E" w:rsidRDefault="0027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7AE7"/>
    <w:multiLevelType w:val="multilevel"/>
    <w:tmpl w:val="9C10AF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DA"/>
    <w:rsid w:val="00146EF1"/>
    <w:rsid w:val="002537E5"/>
    <w:rsid w:val="00270E4E"/>
    <w:rsid w:val="002C5063"/>
    <w:rsid w:val="003275BC"/>
    <w:rsid w:val="00431382"/>
    <w:rsid w:val="004F24AE"/>
    <w:rsid w:val="00636AF0"/>
    <w:rsid w:val="00690033"/>
    <w:rsid w:val="007C2129"/>
    <w:rsid w:val="008A6ECD"/>
    <w:rsid w:val="00946767"/>
    <w:rsid w:val="0095707A"/>
    <w:rsid w:val="009D7310"/>
    <w:rsid w:val="00A876DA"/>
    <w:rsid w:val="00CB00A9"/>
    <w:rsid w:val="00D01E80"/>
    <w:rsid w:val="00E96788"/>
    <w:rsid w:val="00F3641A"/>
    <w:rsid w:val="00F4297A"/>
    <w:rsid w:val="00F6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F2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rsid w:val="00F61F6E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rsid w:val="00F61F6E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E9678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E96788"/>
    <w:rPr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E9678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96788"/>
    <w:rPr>
      <w:sz w:val="24"/>
      <w:szCs w:val="24"/>
    </w:rPr>
  </w:style>
  <w:style w:type="character" w:styleId="af8">
    <w:name w:val="page number"/>
    <w:basedOn w:val="a0"/>
    <w:rsid w:val="00E96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F2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rsid w:val="00F61F6E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rsid w:val="00F61F6E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E9678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E96788"/>
    <w:rPr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E9678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96788"/>
    <w:rPr>
      <w:sz w:val="24"/>
      <w:szCs w:val="24"/>
    </w:rPr>
  </w:style>
  <w:style w:type="character" w:styleId="af8">
    <w:name w:val="page number"/>
    <w:basedOn w:val="a0"/>
    <w:rsid w:val="00E9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25</cp:revision>
  <dcterms:created xsi:type="dcterms:W3CDTF">2013-10-23T01:40:00Z</dcterms:created>
  <dcterms:modified xsi:type="dcterms:W3CDTF">2014-10-16T00:23:00Z</dcterms:modified>
</cp:coreProperties>
</file>