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A" w:rsidRDefault="00DD495A" w:rsidP="00DD4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D495A" w:rsidRDefault="00DD495A" w:rsidP="00DD4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D495A" w:rsidRDefault="00DD495A" w:rsidP="00DD4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D495A" w:rsidRDefault="00DD495A" w:rsidP="00DD4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DD495A" w:rsidRDefault="00DD495A" w:rsidP="00DD495A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DD495A" w:rsidRDefault="00DD495A" w:rsidP="00DD495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              №  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-ра</w:t>
      </w:r>
    </w:p>
    <w:p w:rsidR="00DD495A" w:rsidRDefault="00DD495A" w:rsidP="00DD495A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Пронге</w:t>
      </w:r>
      <w:proofErr w:type="spellEnd"/>
    </w:p>
    <w:p w:rsidR="00DD495A" w:rsidRDefault="00DD495A" w:rsidP="00DD495A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C7B70" w:rsidRPr="00723296" w:rsidRDefault="00DC7B70" w:rsidP="00DD49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4749" w:rsidRPr="0088445C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88445C" w:rsidRDefault="0088445C" w:rsidP="00DC7B70">
      <w:pPr>
        <w:spacing w:line="192" w:lineRule="auto"/>
        <w:ind w:right="495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445C">
        <w:rPr>
          <w:rFonts w:ascii="Times New Roman" w:hAnsi="Times New Roman" w:cs="Times New Roman"/>
          <w:sz w:val="26"/>
          <w:szCs w:val="26"/>
        </w:rPr>
        <w:t>Об утверждении бюджетного</w:t>
      </w:r>
      <w:r w:rsidR="00B14749" w:rsidRPr="0088445C">
        <w:rPr>
          <w:rFonts w:ascii="Times New Roman" w:hAnsi="Times New Roman" w:cs="Times New Roman"/>
          <w:sz w:val="26"/>
          <w:szCs w:val="26"/>
        </w:rPr>
        <w:t xml:space="preserve"> пр</w:t>
      </w:r>
      <w:r w:rsidR="00B14749" w:rsidRPr="0088445C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B14749" w:rsidRPr="0088445C">
        <w:rPr>
          <w:rFonts w:ascii="Times New Roman" w:hAnsi="Times New Roman" w:cs="Times New Roman"/>
          <w:sz w:val="26"/>
          <w:szCs w:val="26"/>
        </w:rPr>
        <w:t>гноз</w:t>
      </w:r>
      <w:r w:rsidRPr="0088445C">
        <w:rPr>
          <w:rFonts w:ascii="Times New Roman" w:hAnsi="Times New Roman" w:cs="Times New Roman"/>
          <w:sz w:val="26"/>
          <w:szCs w:val="26"/>
        </w:rPr>
        <w:t>а</w:t>
      </w:r>
      <w:r w:rsidR="00B14749" w:rsidRPr="008844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C12" w:rsidRPr="0088445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14749" w:rsidRPr="0088445C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Pr="0088445C">
        <w:rPr>
          <w:rFonts w:ascii="Times New Roman" w:hAnsi="Times New Roman" w:cs="Times New Roman"/>
          <w:sz w:val="26"/>
          <w:szCs w:val="26"/>
        </w:rPr>
        <w:t>8 года</w:t>
      </w:r>
    </w:p>
    <w:p w:rsidR="00B14749" w:rsidRDefault="00B1474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7B70" w:rsidRPr="0088445C" w:rsidRDefault="00DC7B70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401D72" w:rsidRDefault="0088445C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1D72">
        <w:rPr>
          <w:rFonts w:ascii="Times New Roman" w:hAnsi="Times New Roman" w:cs="Times New Roman"/>
          <w:sz w:val="26"/>
          <w:szCs w:val="26"/>
        </w:rPr>
        <w:t>В соответствии со статьей 170.1 Бюджетного кодекса Российской Федер</w:t>
      </w:r>
      <w:r w:rsidRPr="00401D72">
        <w:rPr>
          <w:rFonts w:ascii="Times New Roman" w:hAnsi="Times New Roman" w:cs="Times New Roman"/>
          <w:sz w:val="26"/>
          <w:szCs w:val="26"/>
        </w:rPr>
        <w:t>а</w:t>
      </w:r>
      <w:r w:rsidRPr="00401D72">
        <w:rPr>
          <w:rFonts w:ascii="Times New Roman" w:hAnsi="Times New Roman" w:cs="Times New Roman"/>
          <w:sz w:val="26"/>
          <w:szCs w:val="26"/>
        </w:rPr>
        <w:t xml:space="preserve">ции, постановлением администрации </w:t>
      </w:r>
      <w:proofErr w:type="spellStart"/>
      <w:r w:rsidR="00401D72" w:rsidRP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01D7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01D72" w:rsidRPr="00401D72">
        <w:rPr>
          <w:rFonts w:ascii="Times New Roman" w:hAnsi="Times New Roman" w:cs="Times New Roman"/>
          <w:sz w:val="26"/>
          <w:szCs w:val="26"/>
        </w:rPr>
        <w:t>от 01 июня 2016 г. № 25- па</w:t>
      </w:r>
      <w:r w:rsidRPr="00401D72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бюджетного прогноза </w:t>
      </w:r>
      <w:proofErr w:type="spellStart"/>
      <w:r w:rsidR="00401D72" w:rsidRP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01D72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период»</w:t>
      </w:r>
    </w:p>
    <w:p w:rsidR="0007505F" w:rsidRPr="00401D72" w:rsidRDefault="00A07BA0" w:rsidP="0088445C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1D72">
        <w:rPr>
          <w:rFonts w:ascii="Times New Roman" w:hAnsi="Times New Roman" w:cs="Times New Roman"/>
          <w:sz w:val="26"/>
          <w:szCs w:val="26"/>
        </w:rPr>
        <w:t xml:space="preserve">1. </w:t>
      </w:r>
      <w:r w:rsidR="0088445C" w:rsidRPr="00401D72"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="008E2274" w:rsidRPr="00401D72">
        <w:rPr>
          <w:rFonts w:ascii="Times New Roman" w:hAnsi="Times New Roman" w:cs="Times New Roman"/>
          <w:sz w:val="26"/>
          <w:szCs w:val="26"/>
        </w:rPr>
        <w:t xml:space="preserve"> Б</w:t>
      </w:r>
      <w:r w:rsidRPr="00401D72">
        <w:rPr>
          <w:rFonts w:ascii="Times New Roman" w:hAnsi="Times New Roman" w:cs="Times New Roman"/>
          <w:sz w:val="26"/>
          <w:szCs w:val="26"/>
        </w:rPr>
        <w:t xml:space="preserve">юджетный прогноз </w:t>
      </w:r>
      <w:proofErr w:type="spellStart"/>
      <w:r w:rsidR="00401D72" w:rsidRP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C12" w:rsidRPr="00401D72">
        <w:rPr>
          <w:rFonts w:ascii="Times New Roman" w:hAnsi="Times New Roman" w:cs="Times New Roman"/>
          <w:sz w:val="26"/>
          <w:szCs w:val="26"/>
        </w:rPr>
        <w:t xml:space="preserve"> сел</w:t>
      </w:r>
      <w:r w:rsidR="006B4C12" w:rsidRPr="00401D72">
        <w:rPr>
          <w:rFonts w:ascii="Times New Roman" w:hAnsi="Times New Roman" w:cs="Times New Roman"/>
          <w:sz w:val="26"/>
          <w:szCs w:val="26"/>
        </w:rPr>
        <w:t>ь</w:t>
      </w:r>
      <w:r w:rsidR="006B4C12" w:rsidRPr="00401D72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B40954" w:rsidRPr="00401D72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88445C" w:rsidRPr="00401D72">
        <w:rPr>
          <w:rFonts w:ascii="Times New Roman" w:hAnsi="Times New Roman" w:cs="Times New Roman"/>
          <w:sz w:val="26"/>
          <w:szCs w:val="26"/>
        </w:rPr>
        <w:t>8</w:t>
      </w:r>
      <w:r w:rsidR="00B40954" w:rsidRPr="00401D7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7A3C" w:rsidRPr="00401D72">
        <w:rPr>
          <w:rFonts w:ascii="Times New Roman" w:hAnsi="Times New Roman" w:cs="Times New Roman"/>
          <w:sz w:val="26"/>
          <w:szCs w:val="26"/>
        </w:rPr>
        <w:t>.</w:t>
      </w:r>
    </w:p>
    <w:p w:rsidR="00DC7B70" w:rsidRDefault="0088445C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7B70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 xml:space="preserve"> утратившим силу распоряжение администрации </w:t>
      </w:r>
      <w:proofErr w:type="spellStart"/>
      <w:r w:rsidR="00401D72">
        <w:rPr>
          <w:rFonts w:ascii="Times New Roman" w:hAnsi="Times New Roman" w:cs="Times New Roman"/>
          <w:sz w:val="26"/>
          <w:szCs w:val="26"/>
        </w:rPr>
        <w:t>Нижнепро</w:t>
      </w:r>
      <w:r w:rsidR="00401D72">
        <w:rPr>
          <w:rFonts w:ascii="Times New Roman" w:hAnsi="Times New Roman" w:cs="Times New Roman"/>
          <w:sz w:val="26"/>
          <w:szCs w:val="26"/>
        </w:rPr>
        <w:t>н</w:t>
      </w:r>
      <w:r w:rsidR="00401D72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C7B70">
        <w:rPr>
          <w:rFonts w:ascii="Times New Roman" w:hAnsi="Times New Roman" w:cs="Times New Roman"/>
          <w:sz w:val="26"/>
          <w:szCs w:val="26"/>
        </w:rPr>
        <w:t>:</w:t>
      </w:r>
    </w:p>
    <w:p w:rsidR="00DC7B70" w:rsidRDefault="00DC7B70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445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03 февраля 2020 № 4-ра</w:t>
      </w:r>
      <w:r w:rsidR="00884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бюджетного прогноза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 до 2025 года</w:t>
      </w:r>
      <w:r w:rsidR="0088445C">
        <w:rPr>
          <w:rFonts w:ascii="Times New Roman" w:hAnsi="Times New Roman" w:cs="Times New Roman"/>
          <w:sz w:val="26"/>
          <w:szCs w:val="26"/>
        </w:rPr>
        <w:t>"</w:t>
      </w:r>
    </w:p>
    <w:p w:rsidR="00DC7B70" w:rsidRDefault="00DC7B70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16 февраля 2022 № 2-ра «О внесении изменений в бюджетный прогноз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 до 2025 года»       </w:t>
      </w:r>
    </w:p>
    <w:p w:rsidR="0007505F" w:rsidRPr="00723296" w:rsidRDefault="00C575F3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05F" w:rsidRPr="00723296">
        <w:rPr>
          <w:rFonts w:ascii="Times New Roman" w:hAnsi="Times New Roman" w:cs="Times New Roman"/>
          <w:sz w:val="26"/>
          <w:szCs w:val="26"/>
        </w:rPr>
        <w:t xml:space="preserve">. </w:t>
      </w:r>
      <w:r w:rsidR="0082029F" w:rsidRPr="00723296">
        <w:rPr>
          <w:rFonts w:ascii="Times New Roman" w:hAnsi="Times New Roman" w:cs="Times New Roman"/>
          <w:sz w:val="26"/>
          <w:szCs w:val="26"/>
        </w:rPr>
        <w:t>Опублик</w:t>
      </w:r>
      <w:r w:rsidR="001A0B77">
        <w:rPr>
          <w:rFonts w:ascii="Times New Roman" w:hAnsi="Times New Roman" w:cs="Times New Roman"/>
          <w:sz w:val="26"/>
          <w:szCs w:val="26"/>
        </w:rPr>
        <w:t xml:space="preserve">овать настоящее распоряжение в </w:t>
      </w:r>
      <w:r w:rsidR="00DC7B70">
        <w:rPr>
          <w:rFonts w:ascii="Times New Roman" w:hAnsi="Times New Roman" w:cs="Times New Roman"/>
          <w:sz w:val="26"/>
          <w:szCs w:val="26"/>
        </w:rPr>
        <w:t>«</w:t>
      </w:r>
      <w:r w:rsidR="0082029F" w:rsidRPr="00723296">
        <w:rPr>
          <w:rFonts w:ascii="Times New Roman" w:hAnsi="Times New Roman" w:cs="Times New Roman"/>
          <w:sz w:val="26"/>
          <w:szCs w:val="26"/>
        </w:rPr>
        <w:t xml:space="preserve">Сборнике нормативно-правовых актов администрации </w:t>
      </w:r>
      <w:proofErr w:type="spellStart"/>
      <w:r w:rsid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2029F" w:rsidRPr="00723296">
        <w:rPr>
          <w:rFonts w:ascii="Times New Roman" w:hAnsi="Times New Roman" w:cs="Times New Roman"/>
          <w:sz w:val="26"/>
          <w:szCs w:val="26"/>
        </w:rPr>
        <w:t xml:space="preserve"> сельского поселения Ник</w:t>
      </w:r>
      <w:r w:rsidR="0082029F" w:rsidRPr="00723296">
        <w:rPr>
          <w:rFonts w:ascii="Times New Roman" w:hAnsi="Times New Roman" w:cs="Times New Roman"/>
          <w:sz w:val="26"/>
          <w:szCs w:val="26"/>
        </w:rPr>
        <w:t>о</w:t>
      </w:r>
      <w:r w:rsidR="0082029F" w:rsidRPr="00723296">
        <w:rPr>
          <w:rFonts w:ascii="Times New Roman" w:hAnsi="Times New Roman" w:cs="Times New Roman"/>
          <w:sz w:val="26"/>
          <w:szCs w:val="26"/>
        </w:rPr>
        <w:t>лаевского муниципа</w:t>
      </w:r>
      <w:r w:rsidR="001A0B77">
        <w:rPr>
          <w:rFonts w:ascii="Times New Roman" w:hAnsi="Times New Roman" w:cs="Times New Roman"/>
          <w:sz w:val="26"/>
          <w:szCs w:val="26"/>
        </w:rPr>
        <w:t>льного района Хабаровского края</w:t>
      </w:r>
      <w:r w:rsidR="00DC7B70">
        <w:rPr>
          <w:rFonts w:ascii="Times New Roman" w:hAnsi="Times New Roman" w:cs="Times New Roman"/>
          <w:sz w:val="26"/>
          <w:szCs w:val="26"/>
        </w:rPr>
        <w:t>»</w:t>
      </w:r>
      <w:r w:rsidR="0082029F" w:rsidRPr="00723296">
        <w:rPr>
          <w:rFonts w:ascii="Times New Roman" w:hAnsi="Times New Roman" w:cs="Times New Roman"/>
          <w:sz w:val="26"/>
          <w:szCs w:val="26"/>
        </w:rPr>
        <w:t xml:space="preserve"> и разместить на офиц</w:t>
      </w:r>
      <w:r w:rsidR="0082029F" w:rsidRPr="00723296">
        <w:rPr>
          <w:rFonts w:ascii="Times New Roman" w:hAnsi="Times New Roman" w:cs="Times New Roman"/>
          <w:sz w:val="26"/>
          <w:szCs w:val="26"/>
        </w:rPr>
        <w:t>и</w:t>
      </w:r>
      <w:r w:rsidR="0082029F" w:rsidRPr="00723296">
        <w:rPr>
          <w:rFonts w:ascii="Times New Roman" w:hAnsi="Times New Roman" w:cs="Times New Roman"/>
          <w:sz w:val="26"/>
          <w:szCs w:val="26"/>
        </w:rPr>
        <w:t xml:space="preserve">альном </w:t>
      </w:r>
      <w:r w:rsidR="001A0B77">
        <w:rPr>
          <w:rFonts w:ascii="Times New Roman" w:hAnsi="Times New Roman" w:cs="Times New Roman"/>
          <w:sz w:val="26"/>
          <w:szCs w:val="26"/>
        </w:rPr>
        <w:t>сайте</w:t>
      </w:r>
      <w:r w:rsidR="0082029F" w:rsidRPr="0072329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01D7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2029F" w:rsidRPr="00723296">
        <w:rPr>
          <w:rFonts w:ascii="Times New Roman" w:hAnsi="Times New Roman" w:cs="Times New Roman"/>
          <w:sz w:val="26"/>
          <w:szCs w:val="26"/>
        </w:rPr>
        <w:t xml:space="preserve"> сельского поселения Никол</w:t>
      </w:r>
      <w:r w:rsidR="0082029F" w:rsidRPr="00723296">
        <w:rPr>
          <w:rFonts w:ascii="Times New Roman" w:hAnsi="Times New Roman" w:cs="Times New Roman"/>
          <w:sz w:val="26"/>
          <w:szCs w:val="26"/>
        </w:rPr>
        <w:t>а</w:t>
      </w:r>
      <w:r w:rsidR="0082029F" w:rsidRPr="00723296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</w:t>
      </w:r>
      <w:r w:rsidR="00401D7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информационно-телекоммуникационный сети "Интернет"</w:t>
      </w:r>
      <w:r w:rsidR="0007505F" w:rsidRPr="00723296">
        <w:rPr>
          <w:rFonts w:ascii="Times New Roman" w:hAnsi="Times New Roman" w:cs="Times New Roman"/>
          <w:sz w:val="26"/>
          <w:szCs w:val="26"/>
        </w:rPr>
        <w:t>.</w:t>
      </w:r>
    </w:p>
    <w:p w:rsidR="0007505F" w:rsidRPr="00723296" w:rsidRDefault="0007505F" w:rsidP="0007505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296">
        <w:rPr>
          <w:rFonts w:ascii="Times New Roman" w:hAnsi="Times New Roman" w:cs="Times New Roman"/>
          <w:sz w:val="26"/>
          <w:szCs w:val="26"/>
        </w:rPr>
        <w:tab/>
      </w:r>
      <w:r w:rsidR="00C575F3">
        <w:rPr>
          <w:rFonts w:ascii="Times New Roman" w:hAnsi="Times New Roman" w:cs="Times New Roman"/>
          <w:sz w:val="26"/>
          <w:szCs w:val="26"/>
        </w:rPr>
        <w:t>4</w:t>
      </w:r>
      <w:r w:rsidRPr="00723296">
        <w:rPr>
          <w:rFonts w:ascii="Times New Roman" w:hAnsi="Times New Roman" w:cs="Times New Roman"/>
          <w:sz w:val="26"/>
          <w:szCs w:val="26"/>
        </w:rPr>
        <w:t xml:space="preserve">. </w:t>
      </w:r>
      <w:r w:rsidR="004970FA" w:rsidRPr="00B1474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970FA">
        <w:rPr>
          <w:rFonts w:ascii="Times New Roman" w:hAnsi="Times New Roman" w:cs="Times New Roman"/>
          <w:sz w:val="26"/>
          <w:szCs w:val="26"/>
        </w:rPr>
        <w:t>распоряжение</w:t>
      </w:r>
      <w:r w:rsidR="004970FA" w:rsidRPr="00B14749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4970FA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DC7B70">
        <w:rPr>
          <w:rFonts w:ascii="Times New Roman" w:hAnsi="Times New Roman" w:cs="Times New Roman"/>
          <w:sz w:val="26"/>
          <w:szCs w:val="26"/>
        </w:rPr>
        <w:t>опубликования</w:t>
      </w:r>
      <w:r w:rsidRPr="00723296">
        <w:rPr>
          <w:rFonts w:ascii="Times New Roman" w:hAnsi="Times New Roman" w:cs="Times New Roman"/>
          <w:sz w:val="26"/>
          <w:szCs w:val="26"/>
        </w:rPr>
        <w:t>.</w:t>
      </w:r>
    </w:p>
    <w:p w:rsidR="0007505F" w:rsidRPr="00723296" w:rsidRDefault="0007505F" w:rsidP="00A07B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723296" w:rsidRDefault="00A07BA0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2965"/>
        <w:gridCol w:w="2060"/>
      </w:tblGrid>
      <w:tr w:rsidR="00DC7B70" w:rsidRPr="00DC7B70" w:rsidTr="00DC7B70">
        <w:tc>
          <w:tcPr>
            <w:tcW w:w="4361" w:type="dxa"/>
            <w:shd w:val="clear" w:color="auto" w:fill="auto"/>
            <w:hideMark/>
          </w:tcPr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</w:t>
            </w: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Николаевского мун</w:t>
            </w: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</w:p>
          <w:p w:rsidR="00DC7B70" w:rsidRPr="00DC7B70" w:rsidRDefault="00DC7B70" w:rsidP="00DC7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A07BA0" w:rsidRDefault="00A07BA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B70" w:rsidRPr="00DC7B70" w:rsidRDefault="00DC7B70" w:rsidP="00DC7B70">
      <w:pPr>
        <w:pStyle w:val="2"/>
        <w:tabs>
          <w:tab w:val="left" w:pos="709"/>
        </w:tabs>
        <w:spacing w:after="0" w:line="192" w:lineRule="auto"/>
        <w:ind w:left="5670"/>
        <w:rPr>
          <w:color w:val="auto"/>
          <w:sz w:val="26"/>
          <w:szCs w:val="26"/>
        </w:rPr>
      </w:pPr>
      <w:r w:rsidRPr="00DC7B70">
        <w:rPr>
          <w:color w:val="auto"/>
          <w:sz w:val="26"/>
          <w:szCs w:val="26"/>
        </w:rPr>
        <w:lastRenderedPageBreak/>
        <w:t>УТВЕРЖДЕН</w:t>
      </w:r>
    </w:p>
    <w:p w:rsidR="00DC7B70" w:rsidRP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B70" w:rsidRP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7B70">
        <w:rPr>
          <w:rFonts w:ascii="Times New Roman" w:hAnsi="Times New Roman" w:cs="Times New Roman"/>
          <w:sz w:val="26"/>
          <w:szCs w:val="26"/>
          <w:lang w:eastAsia="ru-RU"/>
        </w:rPr>
        <w:t xml:space="preserve">распоряжение администрации </w:t>
      </w:r>
      <w:proofErr w:type="spellStart"/>
      <w:r w:rsidRPr="00DC7B70">
        <w:rPr>
          <w:rFonts w:ascii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</w:t>
      </w:r>
      <w:r w:rsidRPr="00DC7B7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C7B70">
        <w:rPr>
          <w:rFonts w:ascii="Times New Roman" w:hAnsi="Times New Roman" w:cs="Times New Roman"/>
          <w:sz w:val="26"/>
          <w:szCs w:val="26"/>
          <w:lang w:eastAsia="ru-RU"/>
        </w:rPr>
        <w:t>го поселения</w:t>
      </w:r>
    </w:p>
    <w:p w:rsid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7B70">
        <w:rPr>
          <w:rFonts w:ascii="Times New Roman" w:hAnsi="Times New Roman" w:cs="Times New Roman"/>
          <w:sz w:val="26"/>
          <w:szCs w:val="26"/>
          <w:lang w:eastAsia="ru-RU"/>
        </w:rPr>
        <w:t>от 01.03.2023   № 14-ра</w:t>
      </w:r>
    </w:p>
    <w:p w:rsid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B70" w:rsidRPr="00DC7B70" w:rsidRDefault="00DC7B70" w:rsidP="00DC7B70">
      <w:pPr>
        <w:spacing w:after="0" w:line="192" w:lineRule="auto"/>
        <w:ind w:left="567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B70" w:rsidRPr="00DC7B70" w:rsidRDefault="00DC7B70" w:rsidP="00DC7B70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DC7B70">
        <w:rPr>
          <w:color w:val="auto"/>
          <w:sz w:val="26"/>
          <w:szCs w:val="26"/>
        </w:rPr>
        <w:t>БЮДЖЕТНЫЙ ПРОГНОЗ</w:t>
      </w:r>
    </w:p>
    <w:p w:rsidR="00DC7B70" w:rsidRPr="00DC7B70" w:rsidRDefault="00DC7B70" w:rsidP="00DC7B70">
      <w:pPr>
        <w:pStyle w:val="2"/>
        <w:rPr>
          <w:color w:val="auto"/>
          <w:sz w:val="26"/>
          <w:szCs w:val="26"/>
        </w:rPr>
      </w:pPr>
      <w:proofErr w:type="spellStart"/>
      <w:r w:rsidRPr="00DC7B70">
        <w:rPr>
          <w:color w:val="auto"/>
          <w:sz w:val="26"/>
          <w:szCs w:val="26"/>
        </w:rPr>
        <w:t>Нижнепронгенского</w:t>
      </w:r>
      <w:proofErr w:type="spellEnd"/>
      <w:r w:rsidRPr="00DC7B70">
        <w:rPr>
          <w:color w:val="auto"/>
          <w:sz w:val="26"/>
          <w:szCs w:val="26"/>
        </w:rPr>
        <w:t xml:space="preserve"> сельского поселения  на долгосрочный период до 2028</w:t>
      </w:r>
      <w:r w:rsidRPr="00DC7B70">
        <w:rPr>
          <w:color w:val="FF0000"/>
          <w:sz w:val="26"/>
          <w:szCs w:val="26"/>
        </w:rPr>
        <w:t xml:space="preserve"> </w:t>
      </w:r>
      <w:r w:rsidRPr="00DC7B70">
        <w:rPr>
          <w:color w:val="auto"/>
          <w:sz w:val="26"/>
          <w:szCs w:val="26"/>
        </w:rPr>
        <w:t>года</w:t>
      </w:r>
    </w:p>
    <w:p w:rsidR="00DC7B70" w:rsidRPr="00DC7B70" w:rsidRDefault="00DC7B70" w:rsidP="00DC7B70">
      <w:pPr>
        <w:spacing w:before="60" w:after="6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B70" w:rsidRPr="00DC7B70" w:rsidRDefault="00DC7B70" w:rsidP="00DC7B7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сельского поселения на долг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срочный период до 2028 года (далее - Бюджетный прогноз)  разработан в соо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>ветствии с требованиями статьи 170.1 Бюджетного кодекса Российской Федер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 xml:space="preserve">ции  и на основании постановления администрации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</w:t>
      </w:r>
      <w:r w:rsidRPr="00DC7B70">
        <w:rPr>
          <w:rFonts w:ascii="Times New Roman" w:hAnsi="Times New Roman" w:cs="Times New Roman"/>
          <w:sz w:val="26"/>
          <w:szCs w:val="26"/>
        </w:rPr>
        <w:t>ь</w:t>
      </w:r>
      <w:r w:rsidRPr="00DC7B70">
        <w:rPr>
          <w:rFonts w:ascii="Times New Roman" w:hAnsi="Times New Roman" w:cs="Times New Roman"/>
          <w:sz w:val="26"/>
          <w:szCs w:val="26"/>
        </w:rPr>
        <w:t>ского поселения от 01 июня 2016 г. № 25- па «О порядке разработки и утвержд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 xml:space="preserve">ния бюджетного прогноза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сельского поселения на долг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 xml:space="preserve">срочный период». 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B70">
        <w:rPr>
          <w:rFonts w:ascii="Times New Roman" w:hAnsi="Times New Roman" w:cs="Times New Roman"/>
          <w:sz w:val="26"/>
          <w:szCs w:val="26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учетом стратегических целей, сформулированных в посланиях Президента Ро</w:t>
      </w:r>
      <w:r w:rsidRPr="00DC7B70">
        <w:rPr>
          <w:rFonts w:ascii="Times New Roman" w:hAnsi="Times New Roman" w:cs="Times New Roman"/>
          <w:sz w:val="26"/>
          <w:szCs w:val="26"/>
        </w:rPr>
        <w:t>с</w:t>
      </w:r>
      <w:r w:rsidRPr="00DC7B70">
        <w:rPr>
          <w:rFonts w:ascii="Times New Roman" w:hAnsi="Times New Roman" w:cs="Times New Roman"/>
          <w:sz w:val="26"/>
          <w:szCs w:val="26"/>
        </w:rPr>
        <w:t>сийской Федерации Федеральному Собранию Российской Федерации от 15 я</w:t>
      </w:r>
      <w:r w:rsidRPr="00DC7B70">
        <w:rPr>
          <w:rFonts w:ascii="Times New Roman" w:hAnsi="Times New Roman" w:cs="Times New Roman"/>
          <w:sz w:val="26"/>
          <w:szCs w:val="26"/>
        </w:rPr>
        <w:t>н</w:t>
      </w:r>
      <w:r w:rsidRPr="00DC7B70">
        <w:rPr>
          <w:rFonts w:ascii="Times New Roman" w:hAnsi="Times New Roman" w:cs="Times New Roman"/>
          <w:sz w:val="26"/>
          <w:szCs w:val="26"/>
        </w:rPr>
        <w:t>варя 2020 года и от 21 апреля 2021 года, Указе Президента Российской Федер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>ции от 21 июля 2020 г. № 474 "О национальных целях развития Российской Ф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дерации на период до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2030 года", </w:t>
      </w:r>
      <w:proofErr w:type="gramStart"/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>Указе</w:t>
      </w:r>
      <w:proofErr w:type="gramEnd"/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</w:r>
      <w:r w:rsidRPr="00DC7B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 xml:space="preserve">1. Основные итоги исполнения бюджета </w:t>
      </w:r>
      <w:proofErr w:type="spellStart"/>
      <w:r w:rsidRPr="00DC7B70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b/>
          <w:sz w:val="26"/>
          <w:szCs w:val="26"/>
        </w:rPr>
        <w:t xml:space="preserve"> сельск</w:t>
      </w:r>
      <w:r w:rsidRPr="00DC7B70">
        <w:rPr>
          <w:rFonts w:ascii="Times New Roman" w:hAnsi="Times New Roman" w:cs="Times New Roman"/>
          <w:b/>
          <w:sz w:val="26"/>
          <w:szCs w:val="26"/>
        </w:rPr>
        <w:t>о</w:t>
      </w:r>
      <w:r w:rsidRPr="00DC7B70">
        <w:rPr>
          <w:rFonts w:ascii="Times New Roman" w:hAnsi="Times New Roman" w:cs="Times New Roman"/>
          <w:b/>
          <w:sz w:val="26"/>
          <w:szCs w:val="26"/>
        </w:rPr>
        <w:t>го поселения (основные показатели бюджета поселения) за отчетный ф</w:t>
      </w:r>
      <w:r w:rsidRPr="00DC7B70">
        <w:rPr>
          <w:rFonts w:ascii="Times New Roman" w:hAnsi="Times New Roman" w:cs="Times New Roman"/>
          <w:b/>
          <w:sz w:val="26"/>
          <w:szCs w:val="26"/>
        </w:rPr>
        <w:t>и</w:t>
      </w:r>
      <w:r w:rsidRPr="00DC7B70">
        <w:rPr>
          <w:rFonts w:ascii="Times New Roman" w:hAnsi="Times New Roman" w:cs="Times New Roman"/>
          <w:b/>
          <w:sz w:val="26"/>
          <w:szCs w:val="26"/>
        </w:rPr>
        <w:t>нансовый год</w:t>
      </w:r>
    </w:p>
    <w:p w:rsidR="00DC7B70" w:rsidRPr="00DC7B70" w:rsidRDefault="00DC7B70" w:rsidP="00DC7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B70">
        <w:rPr>
          <w:rFonts w:ascii="Times New Roman" w:hAnsi="Times New Roman" w:cs="Times New Roman"/>
          <w:sz w:val="26"/>
          <w:szCs w:val="26"/>
        </w:rPr>
        <w:t>Бюджет поселения за 2021 год по доходам исполнен в сумме 6855,135 тыс. рублей, в том числе налоговые и неналоговые доходы – 3438,900 тыс. рублей, безвозмездные поступления – 3416,235 тыс. рублей из них межбюджетные трансферты из краевого бюджета в сумме 80,041 тыс. рублей, межбюджетные трансферты из бюджета Николаевского муниципального района в сумме 3336,194 тыс. рублей.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6647,188  тыс. рублей, профицит составил 207,947 тыс. рублей.</w:t>
      </w:r>
    </w:p>
    <w:p w:rsidR="00DC7B70" w:rsidRPr="00DC7B70" w:rsidRDefault="00DC7B70" w:rsidP="00DC7B70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DC7B70">
        <w:rPr>
          <w:sz w:val="26"/>
          <w:szCs w:val="26"/>
        </w:rPr>
        <w:t>Муниципальный долг поселения по состоянию на 01 января 2022 г. сост</w:t>
      </w:r>
      <w:r w:rsidRPr="00DC7B70">
        <w:rPr>
          <w:sz w:val="26"/>
          <w:szCs w:val="26"/>
        </w:rPr>
        <w:t>а</w:t>
      </w:r>
      <w:r w:rsidRPr="00DC7B70">
        <w:rPr>
          <w:sz w:val="26"/>
          <w:szCs w:val="26"/>
        </w:rPr>
        <w:t xml:space="preserve">вил 0,000 тыс. рублей. 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DC7B70" w:rsidRPr="00DC7B70" w:rsidRDefault="00DC7B70" w:rsidP="00DC7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B70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2022 году по доходам сост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 xml:space="preserve">вит 6952,991 тыс. рублей, в том числе налоговые и неналоговые доходы – 881,288  тыс. рублей, безвозмездные поступления – 6071,703 тыс. рублей, из них </w:t>
      </w:r>
      <w:r w:rsidRPr="00DC7B70">
        <w:rPr>
          <w:rFonts w:ascii="Times New Roman" w:hAnsi="Times New Roman" w:cs="Times New Roman"/>
          <w:sz w:val="26"/>
          <w:szCs w:val="26"/>
        </w:rPr>
        <w:lastRenderedPageBreak/>
        <w:t>межбюджетные трансферты из краевого бюджета в сумме 88,776 тыс. рублей, межбюджетные трансферты из бюджета Николаевского муниципального района в сумме 5982,927 тыс. рублей.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По расходам ожидаемое исполнение составит 7782,681 тыс. рублей, дефицит – 829,690 тыс. рублей. </w:t>
      </w:r>
    </w:p>
    <w:p w:rsidR="00DC7B70" w:rsidRPr="00DC7B70" w:rsidRDefault="00DC7B70" w:rsidP="00DC7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По оценке, муниципальный долг по состоянию на 01 января 2023 года с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ставит 0,000 тыс. рублей.</w:t>
      </w:r>
    </w:p>
    <w:p w:rsidR="00DC7B70" w:rsidRPr="00DC7B70" w:rsidRDefault="00DC7B70" w:rsidP="00DC7B70">
      <w:pPr>
        <w:spacing w:after="0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Основными принципами долгосрочной бюджетной политики являются надежность и достоверность оценок и прогнозов. 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При внесении изменений в бюджетный прогноз показатели, относящиеся к отчетному году и предшествующим годам, отражаются по фактическому и</w:t>
      </w:r>
      <w:r w:rsidRPr="00DC7B70">
        <w:rPr>
          <w:rFonts w:ascii="Times New Roman" w:hAnsi="Times New Roman" w:cs="Times New Roman"/>
          <w:sz w:val="26"/>
          <w:szCs w:val="26"/>
        </w:rPr>
        <w:t>с</w:t>
      </w:r>
      <w:r w:rsidRPr="00DC7B70">
        <w:rPr>
          <w:rFonts w:ascii="Times New Roman" w:hAnsi="Times New Roman" w:cs="Times New Roman"/>
          <w:sz w:val="26"/>
          <w:szCs w:val="26"/>
        </w:rPr>
        <w:t>полнению.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1) налоговые и неналоговые доходы спрогнозированы в соответствии с положениями Бюджетного </w:t>
      </w:r>
      <w:hyperlink r:id="rId5" w:history="1">
        <w:r w:rsidRPr="00DC7B70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DC7B70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показат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лей проекта прогноза социально-экономического развития поселения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на долг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срочный период на шесть лет.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тельные показатели и экспертные оценки, прогнозируемые главными админ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страторами доходов бюджета поселения, а также данные налоговой и бюдже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>ной отчетности;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изменения налогового зак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нодательства;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B70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DC7B70">
        <w:rPr>
          <w:rFonts w:ascii="Times New Roman" w:hAnsi="Times New Roman" w:cs="Times New Roman"/>
          <w:sz w:val="26"/>
          <w:szCs w:val="26"/>
        </w:rPr>
        <w:t xml:space="preserve"> и бюджетом поселения по нормативам, предусмотренным Бюджетным </w:t>
      </w:r>
      <w:hyperlink r:id="rId6" w:history="1">
        <w:r w:rsidRPr="00DC7B7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C7B7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DC7B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7B70">
        <w:rPr>
          <w:rFonts w:ascii="Times New Roman" w:hAnsi="Times New Roman" w:cs="Times New Roman"/>
          <w:sz w:val="26"/>
          <w:szCs w:val="26"/>
        </w:rPr>
        <w:t xml:space="preserve"> края от 26 декабря 2007 года № 169 "Об установлении единых нормат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>, предусмотренных специальными налог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 xml:space="preserve">выми режимами, и региональных налогов, подлежащих зачислению в краевой бюджет" (с изм. и доп.) и проектом закона края о краевом бюджете на 2023 год и на плановый период 2024-2025 годов.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Прогноз на 2023-2025 годы по безвозмездным поступлениям разработан на основании проекта закона Хабаровского края «О краевом бюджете на 2023 год и плановый период 2024 и 2025 годов» (первое чтение) и проекта решения Собрания депутатов Николаевского муниципального района «О районном бю</w:t>
      </w:r>
      <w:r w:rsidRPr="00DC7B70">
        <w:rPr>
          <w:rFonts w:ascii="Times New Roman" w:hAnsi="Times New Roman" w:cs="Times New Roman"/>
          <w:sz w:val="26"/>
          <w:szCs w:val="26"/>
        </w:rPr>
        <w:t>д</w:t>
      </w:r>
      <w:r w:rsidRPr="00DC7B70">
        <w:rPr>
          <w:rFonts w:ascii="Times New Roman" w:hAnsi="Times New Roman" w:cs="Times New Roman"/>
          <w:sz w:val="26"/>
          <w:szCs w:val="26"/>
        </w:rPr>
        <w:t>жете на 2023 год и плановый период 2024 и 2025 годов». Безвозмездные посту</w:t>
      </w:r>
      <w:r w:rsidRPr="00DC7B70">
        <w:rPr>
          <w:rFonts w:ascii="Times New Roman" w:hAnsi="Times New Roman" w:cs="Times New Roman"/>
          <w:sz w:val="26"/>
          <w:szCs w:val="26"/>
        </w:rPr>
        <w:t>п</w:t>
      </w:r>
      <w:r w:rsidRPr="00DC7B70">
        <w:rPr>
          <w:rFonts w:ascii="Times New Roman" w:hAnsi="Times New Roman" w:cs="Times New Roman"/>
          <w:sz w:val="26"/>
          <w:szCs w:val="26"/>
        </w:rPr>
        <w:t xml:space="preserve">ления на 2026-2028 годы определены на уровне 2025 года. 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7B70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</w:t>
      </w:r>
      <w:r w:rsidRPr="00DC7B70">
        <w:rPr>
          <w:rFonts w:ascii="Times New Roman" w:hAnsi="Times New Roman" w:cs="Times New Roman"/>
          <w:bCs/>
          <w:sz w:val="26"/>
          <w:szCs w:val="26"/>
        </w:rPr>
        <w:t>д</w:t>
      </w:r>
      <w:r w:rsidRPr="00DC7B70">
        <w:rPr>
          <w:rFonts w:ascii="Times New Roman" w:hAnsi="Times New Roman" w:cs="Times New Roman"/>
          <w:bCs/>
          <w:sz w:val="26"/>
          <w:szCs w:val="26"/>
        </w:rPr>
        <w:t>несрочный период (2023 - 2025 годы) произведено в соответствии с  методикой планирования бюджетных ассигнований бюджета поселения на очередной ф</w:t>
      </w:r>
      <w:r w:rsidRPr="00DC7B70">
        <w:rPr>
          <w:rFonts w:ascii="Times New Roman" w:hAnsi="Times New Roman" w:cs="Times New Roman"/>
          <w:bCs/>
          <w:sz w:val="26"/>
          <w:szCs w:val="26"/>
        </w:rPr>
        <w:t>и</w:t>
      </w:r>
      <w:r w:rsidRPr="00DC7B70">
        <w:rPr>
          <w:rFonts w:ascii="Times New Roman" w:hAnsi="Times New Roman" w:cs="Times New Roman"/>
          <w:bCs/>
          <w:sz w:val="26"/>
          <w:szCs w:val="26"/>
        </w:rPr>
        <w:t>нансовый год и плановый период, утвержденной приказом финансового упра</w:t>
      </w:r>
      <w:r w:rsidRPr="00DC7B70">
        <w:rPr>
          <w:rFonts w:ascii="Times New Roman" w:hAnsi="Times New Roman" w:cs="Times New Roman"/>
          <w:bCs/>
          <w:sz w:val="26"/>
          <w:szCs w:val="26"/>
        </w:rPr>
        <w:t>в</w:t>
      </w:r>
      <w:r w:rsidRPr="00DC7B70">
        <w:rPr>
          <w:rFonts w:ascii="Times New Roman" w:hAnsi="Times New Roman" w:cs="Times New Roman"/>
          <w:bCs/>
          <w:sz w:val="26"/>
          <w:szCs w:val="26"/>
        </w:rPr>
        <w:lastRenderedPageBreak/>
        <w:t>ления администрации Николаевского муниципального района  от 01 июля 2019 г. № 34-п.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бюджета поселения на 2023-2028 годы объем расходов местных бюджетов определен с учетом требований Бюджетного кодекса Российской Федерации </w:t>
      </w:r>
      <w:r w:rsidRPr="00DC7B70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</w:t>
      </w:r>
      <w:r w:rsidRPr="00DC7B7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C7B70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говых доходов местного бюджета.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7B70">
        <w:rPr>
          <w:rFonts w:ascii="Times New Roman" w:hAnsi="Times New Roman" w:cs="Times New Roman"/>
          <w:bCs/>
          <w:sz w:val="26"/>
          <w:szCs w:val="26"/>
        </w:rPr>
        <w:t>Дефицит (профицит) определяется как разница между доходами и расх</w:t>
      </w:r>
      <w:r w:rsidRPr="00DC7B70">
        <w:rPr>
          <w:rFonts w:ascii="Times New Roman" w:hAnsi="Times New Roman" w:cs="Times New Roman"/>
          <w:bCs/>
          <w:sz w:val="26"/>
          <w:szCs w:val="26"/>
        </w:rPr>
        <w:t>о</w:t>
      </w:r>
      <w:r w:rsidRPr="00DC7B70">
        <w:rPr>
          <w:rFonts w:ascii="Times New Roman" w:hAnsi="Times New Roman" w:cs="Times New Roman"/>
          <w:bCs/>
          <w:sz w:val="26"/>
          <w:szCs w:val="26"/>
        </w:rPr>
        <w:t>дами.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 xml:space="preserve">4. Прогноз основных характеристик и иных показателей бюджета </w:t>
      </w:r>
      <w:proofErr w:type="spellStart"/>
      <w:r w:rsidRPr="00DC7B70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долгосрочный период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доходов бюджета поселения с 6177,031 тыс. рублей в 2023 году до 6238,996 тыс. рублей в 2028 году (на 101,0 %), в том числе налоговые и неналоговые доходы с 1315,433 тыс. рублей до 1376,588 тыс. рублей (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104,6%).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Расходы бюджета поселения возрастут с 6177,031 тыс. рублей в 2023 году до 6238,996 тыс. рублей в 2028 году (на 101,0 %).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7B70">
        <w:rPr>
          <w:rFonts w:ascii="Times New Roman" w:hAnsi="Times New Roman" w:cs="Times New Roman"/>
          <w:sz w:val="26"/>
          <w:szCs w:val="26"/>
        </w:rPr>
        <w:t>По состоянию на 01 января 2029 года муниципальный долг составит 0,000 тыс. рублей.</w:t>
      </w:r>
      <w:r w:rsidRPr="00DC7B7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нии № 1.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Муниципальный долг поселения за 2021 год не изменился и составляет 0,000 тыс. рублей.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 xml:space="preserve">6. Основные подходы (цели и задачи) к формированию и реализации бюджетной политики </w:t>
      </w:r>
      <w:proofErr w:type="spellStart"/>
      <w:r w:rsidRPr="00DC7B70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долг</w:t>
      </w:r>
      <w:r w:rsidRPr="00DC7B70">
        <w:rPr>
          <w:rFonts w:ascii="Times New Roman" w:hAnsi="Times New Roman" w:cs="Times New Roman"/>
          <w:b/>
          <w:sz w:val="26"/>
          <w:szCs w:val="26"/>
        </w:rPr>
        <w:t>о</w:t>
      </w:r>
      <w:r w:rsidRPr="00DC7B70">
        <w:rPr>
          <w:rFonts w:ascii="Times New Roman" w:hAnsi="Times New Roman" w:cs="Times New Roman"/>
          <w:b/>
          <w:sz w:val="26"/>
          <w:szCs w:val="26"/>
        </w:rPr>
        <w:t>срочном периоде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331"/>
      <w:bookmarkEnd w:id="1"/>
      <w:r w:rsidRPr="00DC7B70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применение консервативных оценок, соблюдение жёстких ограничений по ра</w:t>
      </w:r>
      <w:r w:rsidRPr="00DC7B70">
        <w:rPr>
          <w:rFonts w:ascii="Times New Roman" w:hAnsi="Times New Roman" w:cs="Times New Roman"/>
          <w:sz w:val="26"/>
          <w:szCs w:val="26"/>
        </w:rPr>
        <w:t>з</w:t>
      </w:r>
      <w:r w:rsidRPr="00DC7B70">
        <w:rPr>
          <w:rFonts w:ascii="Times New Roman" w:hAnsi="Times New Roman" w:cs="Times New Roman"/>
          <w:sz w:val="26"/>
          <w:szCs w:val="26"/>
        </w:rPr>
        <w:t xml:space="preserve">меру дефицита и муниципальному долгу. 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ние устойчивости и сбалансированности бюджетной системы поселения и бе</w:t>
      </w:r>
      <w:r w:rsidRPr="00DC7B70">
        <w:rPr>
          <w:rFonts w:ascii="Times New Roman" w:hAnsi="Times New Roman" w:cs="Times New Roman"/>
          <w:sz w:val="26"/>
          <w:szCs w:val="26"/>
        </w:rPr>
        <w:t>з</w:t>
      </w:r>
      <w:r w:rsidRPr="00DC7B70">
        <w:rPr>
          <w:rFonts w:ascii="Times New Roman" w:hAnsi="Times New Roman" w:cs="Times New Roman"/>
          <w:sz w:val="26"/>
          <w:szCs w:val="26"/>
        </w:rPr>
        <w:t>условное исполнение принятых обязательств наиболее эффективным способом. Это будет способствовать созданию условий для повышения качества жизни ж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телей поселения, комфортных условий для осуществления предпринимательской деятельности, обеспечению эффективности муниципального управления.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DC7B70" w:rsidRPr="00DC7B70" w:rsidRDefault="00DC7B70" w:rsidP="00DC7B7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рования благоприятных условий для развития бизнеса;</w:t>
      </w:r>
    </w:p>
    <w:p w:rsidR="00DC7B70" w:rsidRPr="00DC7B70" w:rsidRDefault="00DC7B70" w:rsidP="00DC7B7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DC7B70" w:rsidRPr="00DC7B70" w:rsidRDefault="00DC7B70" w:rsidP="00DC7B7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ципальных программ, повышение качества уже принятых муниципальных пр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lastRenderedPageBreak/>
        <w:t>грамм;</w:t>
      </w:r>
    </w:p>
    <w:p w:rsidR="00DC7B70" w:rsidRPr="00DC7B70" w:rsidRDefault="00DC7B70" w:rsidP="00DC7B7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ном для качественного исполнения полномочий закрепленных за поселением;</w:t>
      </w:r>
    </w:p>
    <w:p w:rsidR="00DC7B70" w:rsidRPr="00DC7B70" w:rsidRDefault="00DC7B70" w:rsidP="00DC7B70">
      <w:pPr>
        <w:pStyle w:val="a7"/>
        <w:spacing w:after="0" w:line="240" w:lineRule="auto"/>
        <w:ind w:left="0" w:firstLine="708"/>
        <w:jc w:val="both"/>
        <w:rPr>
          <w:sz w:val="26"/>
          <w:szCs w:val="26"/>
        </w:rPr>
      </w:pPr>
      <w:r w:rsidRPr="00DC7B70">
        <w:rPr>
          <w:sz w:val="26"/>
          <w:szCs w:val="26"/>
        </w:rPr>
        <w:t>- совершенствование управления исполнением бюджета поселения;</w:t>
      </w:r>
    </w:p>
    <w:p w:rsidR="00DC7B70" w:rsidRPr="00DC7B70" w:rsidRDefault="00DC7B70" w:rsidP="00DC7B7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DC7B70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DC7B70" w:rsidRPr="00DC7B70" w:rsidRDefault="00DC7B70" w:rsidP="00DC7B70">
      <w:pPr>
        <w:spacing w:after="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сельского поселения на 2023 и плановый период 2024-2025 годов (далее - налоговая политика) направлена на обеспечение экономического роста и повышение налогового администриров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 xml:space="preserve">ния, в целях увеличения бюджета сельского поселения.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скими лицами и индивидуальными предпринимателями сельского поселения по вопросам взыскания сложившейся недоимки и недопущения возникновения з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>долженности по текущим платежам.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допущению возникновения задолженности по платежам, по государственной р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гистрации недвижимости, регистрации земельных участков и включению в налогооблагаемую базу для исчисления налога.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>нения действующих и создания новых рабочих мест.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 xml:space="preserve">ления, необходимо усилить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 и прочих поступлений от использования имущества, нах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дящегося в собственности поселения. Проводить работу по инвентаризации и оптимизации имущества муниципальной собственности, вовлечению в хозя</w:t>
      </w:r>
      <w:r w:rsidRPr="00DC7B70">
        <w:rPr>
          <w:rFonts w:ascii="Times New Roman" w:hAnsi="Times New Roman" w:cs="Times New Roman"/>
          <w:sz w:val="26"/>
          <w:szCs w:val="26"/>
        </w:rPr>
        <w:t>й</w:t>
      </w:r>
      <w:r w:rsidRPr="00DC7B70">
        <w:rPr>
          <w:rFonts w:ascii="Times New Roman" w:hAnsi="Times New Roman" w:cs="Times New Roman"/>
          <w:sz w:val="26"/>
          <w:szCs w:val="26"/>
        </w:rPr>
        <w:t>ственный оборот неиспользуемых объектов недвижимости и земельных учас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>ков.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рации и других приоритетов Правительства края.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DC7B70" w:rsidRPr="00DC7B70" w:rsidRDefault="00DC7B70" w:rsidP="00DC7B70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DC7B70">
        <w:rPr>
          <w:sz w:val="26"/>
          <w:szCs w:val="26"/>
        </w:rPr>
        <w:t>Внедрение принципа планирования бюджета поселения на основе мун</w:t>
      </w:r>
      <w:r w:rsidRPr="00DC7B70">
        <w:rPr>
          <w:sz w:val="26"/>
          <w:szCs w:val="26"/>
        </w:rPr>
        <w:t>и</w:t>
      </w:r>
      <w:r w:rsidRPr="00DC7B70">
        <w:rPr>
          <w:sz w:val="26"/>
          <w:szCs w:val="26"/>
        </w:rPr>
        <w:t>ципальных программ, повышение качества уже принятых муниципальных пр</w:t>
      </w:r>
      <w:r w:rsidRPr="00DC7B70">
        <w:rPr>
          <w:sz w:val="26"/>
          <w:szCs w:val="26"/>
        </w:rPr>
        <w:t>о</w:t>
      </w:r>
      <w:r w:rsidRPr="00DC7B70">
        <w:rPr>
          <w:sz w:val="26"/>
          <w:szCs w:val="26"/>
        </w:rPr>
        <w:t>грамм.</w:t>
      </w:r>
    </w:p>
    <w:p w:rsidR="00DC7B70" w:rsidRPr="00DC7B70" w:rsidRDefault="00DC7B70" w:rsidP="00DC7B70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DC7B70">
        <w:rPr>
          <w:sz w:val="26"/>
          <w:szCs w:val="26"/>
        </w:rPr>
        <w:lastRenderedPageBreak/>
        <w:t>В целях повышения эффективности бюджетных расходов, совершенств</w:t>
      </w:r>
      <w:r w:rsidRPr="00DC7B70">
        <w:rPr>
          <w:sz w:val="26"/>
          <w:szCs w:val="26"/>
        </w:rPr>
        <w:t>о</w:t>
      </w:r>
      <w:r w:rsidRPr="00DC7B70">
        <w:rPr>
          <w:sz w:val="26"/>
          <w:szCs w:val="26"/>
        </w:rPr>
        <w:t>вания стратегического планирования бюджета с учетом приоритетных напра</w:t>
      </w:r>
      <w:r w:rsidRPr="00DC7B70">
        <w:rPr>
          <w:sz w:val="26"/>
          <w:szCs w:val="26"/>
        </w:rPr>
        <w:t>в</w:t>
      </w:r>
      <w:r w:rsidRPr="00DC7B70">
        <w:rPr>
          <w:sz w:val="26"/>
          <w:szCs w:val="26"/>
        </w:rPr>
        <w:t>лений развития поселения необходимо вести разработку муниципальных пр</w:t>
      </w:r>
      <w:r w:rsidRPr="00DC7B70">
        <w:rPr>
          <w:sz w:val="26"/>
          <w:szCs w:val="26"/>
        </w:rPr>
        <w:t>о</w:t>
      </w:r>
      <w:r w:rsidRPr="00DC7B70">
        <w:rPr>
          <w:sz w:val="26"/>
          <w:szCs w:val="26"/>
        </w:rPr>
        <w:t>грамм.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грамм;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роприятиями, предусмотренными нормативными правовыми актами Хабаро</w:t>
      </w:r>
      <w:r w:rsidRPr="00DC7B70">
        <w:rPr>
          <w:rFonts w:ascii="Times New Roman" w:hAnsi="Times New Roman" w:cs="Times New Roman"/>
          <w:sz w:val="26"/>
          <w:szCs w:val="26"/>
        </w:rPr>
        <w:t>в</w:t>
      </w:r>
      <w:r w:rsidRPr="00DC7B70">
        <w:rPr>
          <w:rFonts w:ascii="Times New Roman" w:hAnsi="Times New Roman" w:cs="Times New Roman"/>
          <w:sz w:val="26"/>
          <w:szCs w:val="26"/>
        </w:rPr>
        <w:t>ского края, в рамках которых осуществляется предоставление межбюджетных трансфертов;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ние на официальных сайтах).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При планировании и исполнении (финансировании) бюджетных расходов считать первоочередными и приоритетными: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–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своевременную выплату заработной платы работникам бюджетной сф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>ры, начислений на оплату труда;</w:t>
      </w:r>
    </w:p>
    <w:p w:rsidR="00DC7B70" w:rsidRPr="00DC7B70" w:rsidRDefault="00DC7B70" w:rsidP="00DC7B7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–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социальные выплаты;</w:t>
      </w:r>
    </w:p>
    <w:p w:rsidR="00DC7B70" w:rsidRPr="00DC7B70" w:rsidRDefault="00DC7B70" w:rsidP="00DC7B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–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мероприятия, направленные на реализацию национальных, регионал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>ь</w:t>
      </w:r>
      <w:r w:rsidRPr="00DC7B70">
        <w:rPr>
          <w:rFonts w:ascii="Times New Roman" w:eastAsia="Calibri" w:hAnsi="Times New Roman" w:cs="Times New Roman"/>
          <w:color w:val="000000"/>
          <w:sz w:val="26"/>
          <w:szCs w:val="26"/>
        </w:rPr>
        <w:t>ных и муниципальных проектов, флагманских направлений.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lastRenderedPageBreak/>
        <w:t>6.3.  Повышение эффективности системы межбюджетных отношений с районом для качественного исполнения полномочий закрепленных за поселен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ем.</w:t>
      </w:r>
    </w:p>
    <w:p w:rsidR="00DC7B70" w:rsidRPr="00DC7B70" w:rsidRDefault="00DC7B70" w:rsidP="00DC7B70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DC7B70" w:rsidRPr="00DC7B70" w:rsidRDefault="00DC7B70" w:rsidP="00DC7B70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C7B70">
        <w:rPr>
          <w:rFonts w:ascii="Times New Roman" w:hAnsi="Times New Roman" w:cs="Times New Roman"/>
          <w:sz w:val="26"/>
          <w:szCs w:val="26"/>
        </w:rPr>
        <w:tab/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- актуализировать и обеспечить реализацию плана мероприятий по озд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ровлению муниципальных финансов;</w:t>
      </w:r>
    </w:p>
    <w:p w:rsidR="00DC7B70" w:rsidRPr="00DC7B70" w:rsidRDefault="00DC7B70" w:rsidP="00DC7B70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C7B70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димости принятия мер по повышению уровня собственных бюджетных доходов муниципального образования, первоочередного обеспечения социально знач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DC7B70">
        <w:rPr>
          <w:rFonts w:ascii="Times New Roman" w:hAnsi="Times New Roman" w:cs="Times New Roman"/>
          <w:sz w:val="26"/>
          <w:szCs w:val="26"/>
          <w:lang w:eastAsia="en-US"/>
        </w:rPr>
        <w:t>мых расходов;</w:t>
      </w:r>
    </w:p>
    <w:p w:rsidR="00DC7B70" w:rsidRPr="00DC7B70" w:rsidRDefault="00DC7B70" w:rsidP="00DC7B70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C7B70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</w:t>
      </w:r>
      <w:r w:rsidRPr="00DC7B70">
        <w:rPr>
          <w:rFonts w:ascii="Times New Roman" w:hAnsi="Times New Roman" w:cs="Times New Roman"/>
          <w:sz w:val="26"/>
          <w:szCs w:val="26"/>
        </w:rPr>
        <w:t>у</w:t>
      </w:r>
      <w:r w:rsidRPr="00DC7B70">
        <w:rPr>
          <w:rFonts w:ascii="Times New Roman" w:hAnsi="Times New Roman" w:cs="Times New Roman"/>
          <w:sz w:val="26"/>
          <w:szCs w:val="26"/>
        </w:rPr>
        <w:t>щение просроченной кредиторской задолженности по ним;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го бюджета и увеличению финансовых возможностей, а также улучшению кач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ства управления бюджетным процессом.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гое соблюдение бюджетной дисциплины всеми участниками бюджетного пр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цесса, включая: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лях эффективного использования бюджетных средств;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доведенных до главных распорядителей лимитов бюджетных обязательств;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ния, осуществляемого через лицевые счета, открытые в управлении Федеральн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го казначейства по Хабаровскому краю;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</w:t>
      </w:r>
      <w:r w:rsidRPr="00DC7B70">
        <w:rPr>
          <w:rFonts w:ascii="Times New Roman" w:hAnsi="Times New Roman" w:cs="Times New Roman"/>
          <w:sz w:val="26"/>
          <w:szCs w:val="26"/>
        </w:rPr>
        <w:t>я</w:t>
      </w:r>
      <w:r w:rsidRPr="00DC7B70">
        <w:rPr>
          <w:rFonts w:ascii="Times New Roman" w:hAnsi="Times New Roman" w:cs="Times New Roman"/>
          <w:sz w:val="26"/>
          <w:szCs w:val="26"/>
        </w:rPr>
        <w:t>зательствам;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цессом.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lastRenderedPageBreak/>
        <w:t>При исполнении бюджета поселения приоритетным направлением являе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 xml:space="preserve">ся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зультатов выполнения принятых муниципальных программ органом местного самоуправления.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>: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соблюдением бю</w:t>
      </w:r>
      <w:r w:rsidRPr="00DC7B70">
        <w:rPr>
          <w:rFonts w:ascii="Times New Roman" w:hAnsi="Times New Roman" w:cs="Times New Roman"/>
          <w:sz w:val="26"/>
          <w:szCs w:val="26"/>
        </w:rPr>
        <w:t>д</w:t>
      </w:r>
      <w:r w:rsidRPr="00DC7B70">
        <w:rPr>
          <w:rFonts w:ascii="Times New Roman" w:hAnsi="Times New Roman" w:cs="Times New Roman"/>
          <w:sz w:val="26"/>
          <w:szCs w:val="26"/>
        </w:rPr>
        <w:t>жетного законодательства и законодательства о контрактной системе, примен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ние мер ответственности за нарушения бюджетного законодательства и закон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дательства о контрактной системе;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</w:t>
      </w:r>
      <w:r w:rsidRPr="00DC7B70">
        <w:rPr>
          <w:rFonts w:ascii="Times New Roman" w:hAnsi="Times New Roman" w:cs="Times New Roman"/>
          <w:sz w:val="26"/>
          <w:szCs w:val="26"/>
        </w:rPr>
        <w:t>т</w:t>
      </w:r>
      <w:r w:rsidRPr="00DC7B70">
        <w:rPr>
          <w:rFonts w:ascii="Times New Roman" w:hAnsi="Times New Roman" w:cs="Times New Roman"/>
          <w:sz w:val="26"/>
          <w:szCs w:val="26"/>
        </w:rPr>
        <w:t>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</w:t>
      </w:r>
      <w:r w:rsidRPr="00DC7B70">
        <w:rPr>
          <w:rFonts w:ascii="Times New Roman" w:hAnsi="Times New Roman" w:cs="Times New Roman"/>
          <w:sz w:val="26"/>
          <w:szCs w:val="26"/>
        </w:rPr>
        <w:t>я</w:t>
      </w:r>
      <w:r w:rsidRPr="00DC7B70">
        <w:rPr>
          <w:rFonts w:ascii="Times New Roman" w:hAnsi="Times New Roman" w:cs="Times New Roman"/>
          <w:sz w:val="26"/>
          <w:szCs w:val="26"/>
        </w:rPr>
        <w:t>тельности органа местного самоуправления;</w:t>
      </w:r>
    </w:p>
    <w:p w:rsidR="00DC7B70" w:rsidRPr="00DC7B70" w:rsidRDefault="00DC7B70" w:rsidP="00DC7B70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нансового контроля.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ства системы управления муниципальными финансами.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 Интернет) брошюры «Бюджет для граждан» и «Отчёт для граждан». Это даёт возможность в доступной форме информировать население о бюджете посел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 xml:space="preserve">ния, планируемых и достигнутых результатах использования бюджетных средств.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 2023−2028 годах необходимо продолжать практику по формированию брошюры «Бюджет для граждан» и «Отчёт для граждан». Публикуемая в откр</w:t>
      </w:r>
      <w:r w:rsidRPr="00DC7B70">
        <w:rPr>
          <w:rFonts w:ascii="Times New Roman" w:hAnsi="Times New Roman" w:cs="Times New Roman"/>
          <w:sz w:val="26"/>
          <w:szCs w:val="26"/>
        </w:rPr>
        <w:t>ы</w:t>
      </w:r>
      <w:r w:rsidRPr="00DC7B70">
        <w:rPr>
          <w:rFonts w:ascii="Times New Roman" w:hAnsi="Times New Roman" w:cs="Times New Roman"/>
          <w:sz w:val="26"/>
          <w:szCs w:val="26"/>
        </w:rPr>
        <w:t>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населением проекта бюджета поселения путём проведения публичных слуш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</w:t>
      </w:r>
      <w:r w:rsidRPr="00DC7B70">
        <w:rPr>
          <w:rFonts w:ascii="Times New Roman" w:hAnsi="Times New Roman" w:cs="Times New Roman"/>
          <w:b/>
          <w:sz w:val="26"/>
          <w:szCs w:val="26"/>
        </w:rPr>
        <w:t>е</w:t>
      </w:r>
      <w:r w:rsidRPr="00DC7B70">
        <w:rPr>
          <w:rFonts w:ascii="Times New Roman" w:hAnsi="Times New Roman" w:cs="Times New Roman"/>
          <w:b/>
          <w:sz w:val="26"/>
          <w:szCs w:val="26"/>
        </w:rPr>
        <w:t>ния муниципальных программ поселения на период их действия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лены на основании подходов, положенных в основу для подготовки проекта бюджета поселения: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lastRenderedPageBreak/>
        <w:t xml:space="preserve">7.1. Показатели финансового обеспечения муниципальных программ определены в соответствии с проектом решения Совета депутатов </w:t>
      </w:r>
      <w:proofErr w:type="spellStart"/>
      <w:r w:rsidRPr="00DC7B70">
        <w:rPr>
          <w:rFonts w:ascii="Times New Roman" w:hAnsi="Times New Roman" w:cs="Times New Roman"/>
          <w:sz w:val="26"/>
          <w:szCs w:val="26"/>
        </w:rPr>
        <w:t>Нижнепро</w:t>
      </w:r>
      <w:r w:rsidRPr="00DC7B70">
        <w:rPr>
          <w:rFonts w:ascii="Times New Roman" w:hAnsi="Times New Roman" w:cs="Times New Roman"/>
          <w:sz w:val="26"/>
          <w:szCs w:val="26"/>
        </w:rPr>
        <w:t>н</w:t>
      </w:r>
      <w:r w:rsidRPr="00DC7B70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Pr="00DC7B70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 на очередной финансовый год и план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вый период.</w:t>
      </w:r>
    </w:p>
    <w:p w:rsidR="00DC7B70" w:rsidRPr="00DC7B70" w:rsidRDefault="00DC7B70" w:rsidP="00DC7B7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жений органов местного самоуправления - ответственных исполнителей мун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ципальных программ.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пос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ления  на 2023-2028 годы представлены в Приложении № 2.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C7B70">
        <w:rPr>
          <w:rFonts w:ascii="Times New Roman" w:hAnsi="Times New Roman" w:cs="Times New Roman"/>
          <w:b/>
          <w:sz w:val="26"/>
          <w:szCs w:val="26"/>
        </w:rPr>
        <w:t xml:space="preserve">8. Основные риски, влияющие на сбалансированность бюджета </w:t>
      </w:r>
      <w:proofErr w:type="spellStart"/>
      <w:r w:rsidRPr="00DC7B70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DC7B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и способы их минимизации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При исполнении бюджета возможно возникновение следующих рисков: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изменение ситуаций в мировой экономике, экономике Российской Фед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рации, Хабаровском крае, связанное с неустойчивостью макроэкономических параметров (уровень инфляции, темпы экономического роста края, изменение геополитической ситуации, уровень платежеспособности организаций, насел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ния, изменение процентных ставок Центрального банка Российской Федерации, изменение обменного курса валют, ухудшение условий для заимствований и т.п.);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консолидированного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изменение порядка уплаты и зачисления налогов в бюджет, в связи с внедрением с 01 января 2023 года для всех юридических и физических лиц и</w:t>
      </w:r>
      <w:r w:rsidRPr="00DC7B70">
        <w:rPr>
          <w:rFonts w:ascii="Times New Roman" w:hAnsi="Times New Roman" w:cs="Times New Roman"/>
          <w:sz w:val="26"/>
          <w:szCs w:val="26"/>
        </w:rPr>
        <w:t>н</w:t>
      </w:r>
      <w:r w:rsidRPr="00DC7B70">
        <w:rPr>
          <w:rFonts w:ascii="Times New Roman" w:hAnsi="Times New Roman" w:cs="Times New Roman"/>
          <w:sz w:val="26"/>
          <w:szCs w:val="26"/>
        </w:rPr>
        <w:t>ститута единого налогового счёта и единого налогового платежа;</w:t>
      </w:r>
    </w:p>
    <w:p w:rsidR="00DC7B70" w:rsidRPr="00DC7B70" w:rsidRDefault="00DC7B70" w:rsidP="00DC7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- отсутствие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у финансовых органов достоверных сведений об уплаченных налогах в бюджет в разрезе плательщиков юридических лиц по всем операциям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>, в связи с введением с 01 января 2023 года института единого налогового плат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жа, единого налогового счета налогоплательщика и изменения источника пол</w:t>
      </w:r>
      <w:r w:rsidRPr="00DC7B70">
        <w:rPr>
          <w:rFonts w:ascii="Times New Roman" w:hAnsi="Times New Roman" w:cs="Times New Roman"/>
          <w:sz w:val="26"/>
          <w:szCs w:val="26"/>
        </w:rPr>
        <w:t>у</w:t>
      </w:r>
      <w:r w:rsidRPr="00DC7B70">
        <w:rPr>
          <w:rFonts w:ascii="Times New Roman" w:hAnsi="Times New Roman" w:cs="Times New Roman"/>
          <w:sz w:val="26"/>
          <w:szCs w:val="26"/>
        </w:rPr>
        <w:t>чения информации об уплаченных платежах и её полноты;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</w:t>
      </w:r>
      <w:r w:rsidRPr="00DC7B70">
        <w:rPr>
          <w:rFonts w:ascii="Times New Roman" w:hAnsi="Times New Roman" w:cs="Times New Roman"/>
          <w:sz w:val="26"/>
          <w:szCs w:val="26"/>
        </w:rPr>
        <w:t>ь</w:t>
      </w:r>
      <w:r w:rsidRPr="00DC7B70">
        <w:rPr>
          <w:rFonts w:ascii="Times New Roman" w:hAnsi="Times New Roman" w:cs="Times New Roman"/>
          <w:sz w:val="26"/>
          <w:szCs w:val="26"/>
        </w:rPr>
        <w:t>ности плательщиков на территории поселения;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ния, приводящих к нарушению бюджетного законодательства;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</w:t>
      </w:r>
      <w:r w:rsidRPr="00DC7B70">
        <w:rPr>
          <w:rFonts w:ascii="Times New Roman" w:hAnsi="Times New Roman" w:cs="Times New Roman"/>
          <w:sz w:val="26"/>
          <w:szCs w:val="26"/>
        </w:rPr>
        <w:t>с</w:t>
      </w:r>
      <w:r w:rsidRPr="00DC7B70">
        <w:rPr>
          <w:rFonts w:ascii="Times New Roman" w:hAnsi="Times New Roman" w:cs="Times New Roman"/>
          <w:sz w:val="26"/>
          <w:szCs w:val="26"/>
        </w:rPr>
        <w:t>точников местного бюджета;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</w:t>
      </w:r>
      <w:r w:rsidRPr="00DC7B70">
        <w:rPr>
          <w:rFonts w:ascii="Times New Roman" w:hAnsi="Times New Roman" w:cs="Times New Roman"/>
          <w:sz w:val="26"/>
          <w:szCs w:val="26"/>
        </w:rPr>
        <w:t>о</w:t>
      </w:r>
      <w:r w:rsidRPr="00DC7B70">
        <w:rPr>
          <w:rFonts w:ascii="Times New Roman" w:hAnsi="Times New Roman" w:cs="Times New Roman"/>
          <w:sz w:val="26"/>
          <w:szCs w:val="26"/>
        </w:rPr>
        <w:t>полнительных расходов бюджета поселения, обусловленных объективными причинами.</w:t>
      </w:r>
    </w:p>
    <w:p w:rsidR="00DC7B70" w:rsidRPr="00DC7B70" w:rsidRDefault="00DC7B70" w:rsidP="00DC7B7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Влияние рисков может потребовать уточнения прогноза доходов и, в сл</w:t>
      </w:r>
      <w:r w:rsidRPr="00DC7B70">
        <w:rPr>
          <w:rFonts w:ascii="Times New Roman" w:hAnsi="Times New Roman" w:cs="Times New Roman"/>
          <w:sz w:val="26"/>
          <w:szCs w:val="26"/>
        </w:rPr>
        <w:t>у</w:t>
      </w:r>
      <w:r w:rsidRPr="00DC7B70">
        <w:rPr>
          <w:rFonts w:ascii="Times New Roman" w:hAnsi="Times New Roman" w:cs="Times New Roman"/>
          <w:sz w:val="26"/>
          <w:szCs w:val="26"/>
        </w:rPr>
        <w:t>чае необходимости, разработки дополнительных мер, направленных на огран</w:t>
      </w:r>
      <w:r w:rsidRPr="00DC7B70">
        <w:rPr>
          <w:rFonts w:ascii="Times New Roman" w:hAnsi="Times New Roman" w:cs="Times New Roman"/>
          <w:sz w:val="26"/>
          <w:szCs w:val="26"/>
        </w:rPr>
        <w:t>и</w:t>
      </w:r>
      <w:r w:rsidRPr="00DC7B70">
        <w:rPr>
          <w:rFonts w:ascii="Times New Roman" w:hAnsi="Times New Roman" w:cs="Times New Roman"/>
          <w:sz w:val="26"/>
          <w:szCs w:val="26"/>
        </w:rPr>
        <w:t>чение роста расходных обязательств, сокращение избыточных и неэффективных расходов будущих периодов.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lastRenderedPageBreak/>
        <w:t>Минимизировать последствия рисков, влияющих на бюджетную сб</w:t>
      </w:r>
      <w:r w:rsidRPr="00DC7B70">
        <w:rPr>
          <w:rFonts w:ascii="Times New Roman" w:hAnsi="Times New Roman" w:cs="Times New Roman"/>
          <w:sz w:val="26"/>
          <w:szCs w:val="26"/>
        </w:rPr>
        <w:t>а</w:t>
      </w:r>
      <w:r w:rsidRPr="00DC7B70">
        <w:rPr>
          <w:rFonts w:ascii="Times New Roman" w:hAnsi="Times New Roman" w:cs="Times New Roman"/>
          <w:sz w:val="26"/>
          <w:szCs w:val="26"/>
        </w:rPr>
        <w:t>лансированность, предполагается за счет: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бюджет поселения;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концентрация бюджетных ассигнований на приоритетных направл</w:t>
      </w:r>
      <w:r w:rsidRPr="00DC7B70">
        <w:rPr>
          <w:rFonts w:ascii="Times New Roman" w:hAnsi="Times New Roman" w:cs="Times New Roman"/>
          <w:sz w:val="26"/>
          <w:szCs w:val="26"/>
        </w:rPr>
        <w:t>е</w:t>
      </w:r>
      <w:r w:rsidRPr="00DC7B70">
        <w:rPr>
          <w:rFonts w:ascii="Times New Roman" w:hAnsi="Times New Roman" w:cs="Times New Roman"/>
          <w:sz w:val="26"/>
          <w:szCs w:val="26"/>
        </w:rPr>
        <w:t>ниях на основе оценки эффективности бюджетных расходов;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DC7B70" w:rsidRPr="00DC7B70" w:rsidRDefault="00DC7B70" w:rsidP="00DC7B70">
      <w:pPr>
        <w:pStyle w:val="a5"/>
        <w:spacing w:after="0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C7B70">
        <w:rPr>
          <w:rFonts w:ascii="Times New Roman" w:hAnsi="Times New Roman" w:cs="Times New Roman"/>
          <w:sz w:val="26"/>
          <w:szCs w:val="26"/>
        </w:rPr>
        <w:t xml:space="preserve">- проведения </w:t>
      </w:r>
      <w:proofErr w:type="gramStart"/>
      <w:r w:rsidRPr="00DC7B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7B70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DC7B70" w:rsidRDefault="00DC7B7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84372D" w:rsidSect="00DC7B7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372D" w:rsidRP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бюджетному прогнозу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Нижнепронегнского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од до 2023 года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560"/>
        <w:gridCol w:w="1417"/>
        <w:gridCol w:w="1418"/>
        <w:gridCol w:w="1417"/>
        <w:gridCol w:w="1559"/>
        <w:gridCol w:w="1418"/>
        <w:gridCol w:w="1276"/>
        <w:gridCol w:w="1275"/>
      </w:tblGrid>
      <w:tr w:rsidR="0084372D" w:rsidRPr="0084372D" w:rsidTr="0084372D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72D" w:rsidRPr="0084372D" w:rsidTr="0084372D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основных показателей бюджета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72D" w:rsidRPr="0084372D" w:rsidTr="0084372D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тыс. рублей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6 855,135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6 952,991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6 177,031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6 202,188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</w:tr>
      <w:tr w:rsidR="0084372D" w:rsidRPr="0084372D" w:rsidTr="0084372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881,288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1 315,433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1 340,150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1 376,588</w:t>
            </w:r>
          </w:p>
        </w:tc>
      </w:tr>
      <w:tr w:rsidR="0084372D" w:rsidRPr="0084372D" w:rsidTr="0084372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3 416,235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6 071,703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4 861,598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4 862,038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4 862,408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4 862,408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4 862,408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4 862,408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4372D" w:rsidRPr="0084372D" w:rsidTr="0084372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 из кр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73,667</w:t>
            </w:r>
          </w:p>
        </w:tc>
      </w:tr>
      <w:tr w:rsidR="0084372D" w:rsidRPr="0084372D" w:rsidTr="0084372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 из районного бюдж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3 336,194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5 982,927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4 788,741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6 647,188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7 782,681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6 177,031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6 202,188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 (проф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207,947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-829,690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4372D" w:rsidRPr="0084372D" w:rsidTr="00843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</w:tbl>
    <w:p w:rsid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372D" w:rsidRPr="0084372D" w:rsidRDefault="0084372D" w:rsidP="0084372D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бюджетному прогнозу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Нижнепронегнского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од до 2023 года</w:t>
      </w:r>
    </w:p>
    <w:p w:rsid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1532"/>
        <w:gridCol w:w="1417"/>
        <w:gridCol w:w="1276"/>
        <w:gridCol w:w="1276"/>
        <w:gridCol w:w="1275"/>
        <w:gridCol w:w="1276"/>
        <w:gridCol w:w="1418"/>
        <w:gridCol w:w="1417"/>
      </w:tblGrid>
      <w:tr w:rsidR="0084372D" w:rsidRPr="0084372D" w:rsidTr="0084372D">
        <w:trPr>
          <w:trHeight w:val="300"/>
        </w:trPr>
        <w:tc>
          <w:tcPr>
            <w:tcW w:w="14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</w:tr>
      <w:tr w:rsidR="0084372D" w:rsidRPr="0084372D" w:rsidTr="0084372D">
        <w:trPr>
          <w:trHeight w:val="300"/>
        </w:trPr>
        <w:tc>
          <w:tcPr>
            <w:tcW w:w="14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обеспечения муниципальных программ</w:t>
            </w:r>
          </w:p>
        </w:tc>
      </w:tr>
      <w:tr w:rsidR="0084372D" w:rsidRPr="0084372D" w:rsidTr="0084372D">
        <w:trPr>
          <w:trHeight w:val="300"/>
        </w:trPr>
        <w:tc>
          <w:tcPr>
            <w:tcW w:w="14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84372D" w:rsidRPr="0084372D" w:rsidTr="008437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72D" w:rsidRPr="0084372D" w:rsidTr="008437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4372D" w:rsidRPr="0084372D" w:rsidTr="0084372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84372D" w:rsidRPr="0084372D" w:rsidTr="00843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- 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6 647,188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7 782,681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6 177,031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6 202,188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6 238,996</w:t>
            </w:r>
          </w:p>
        </w:tc>
      </w:tr>
      <w:tr w:rsidR="0084372D" w:rsidRPr="0084372D" w:rsidTr="000D3730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распределе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по муниципальным программам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4372D" w:rsidRPr="0084372D" w:rsidTr="000D3730">
        <w:trPr>
          <w:trHeight w:val="2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«Развитие мун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в а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министрации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Николае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муниципального района»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4372D" w:rsidRPr="0084372D" w:rsidTr="000D3730">
        <w:trPr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«Развитие мун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в а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министрации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Николае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муниципального района Хабаровского края на 2022-2028 гг.»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4372D" w:rsidRPr="0084372D" w:rsidTr="000D3730">
        <w:trPr>
          <w:trHeight w:val="1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Николаевского муниципального рай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4372D" w:rsidRPr="0084372D" w:rsidTr="000D3730">
        <w:trPr>
          <w:trHeight w:val="18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Николаевского муниципального района  на 2022-2028 гг.»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2D" w:rsidRPr="0084372D" w:rsidRDefault="0084372D" w:rsidP="0084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75,000</w:t>
            </w:r>
          </w:p>
        </w:tc>
      </w:tr>
    </w:tbl>
    <w:p w:rsidR="0084372D" w:rsidRPr="0084372D" w:rsidRDefault="0084372D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4372D" w:rsidRPr="0084372D" w:rsidSect="0084372D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0"/>
    <w:rsid w:val="0007505F"/>
    <w:rsid w:val="00092EAB"/>
    <w:rsid w:val="000D3730"/>
    <w:rsid w:val="001A0B77"/>
    <w:rsid w:val="002939EA"/>
    <w:rsid w:val="003371EE"/>
    <w:rsid w:val="00401D72"/>
    <w:rsid w:val="004970FA"/>
    <w:rsid w:val="004B1A55"/>
    <w:rsid w:val="006B4C12"/>
    <w:rsid w:val="00723296"/>
    <w:rsid w:val="00762F06"/>
    <w:rsid w:val="0082029F"/>
    <w:rsid w:val="0084372D"/>
    <w:rsid w:val="0088445C"/>
    <w:rsid w:val="008E2274"/>
    <w:rsid w:val="00937A3C"/>
    <w:rsid w:val="00A00E72"/>
    <w:rsid w:val="00A07BA0"/>
    <w:rsid w:val="00A92257"/>
    <w:rsid w:val="00B14749"/>
    <w:rsid w:val="00B40954"/>
    <w:rsid w:val="00C575F3"/>
    <w:rsid w:val="00C9759A"/>
    <w:rsid w:val="00DC7B70"/>
    <w:rsid w:val="00DD495A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B70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7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7B70"/>
  </w:style>
  <w:style w:type="character" w:customStyle="1" w:styleId="20">
    <w:name w:val="Заголовок 2 Знак"/>
    <w:basedOn w:val="a0"/>
    <w:link w:val="2"/>
    <w:uiPriority w:val="9"/>
    <w:rsid w:val="00DC7B7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C7B7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C7B7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DC7B7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DC7B7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DD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B70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7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7B70"/>
  </w:style>
  <w:style w:type="character" w:customStyle="1" w:styleId="20">
    <w:name w:val="Заголовок 2 Знак"/>
    <w:basedOn w:val="a0"/>
    <w:link w:val="2"/>
    <w:uiPriority w:val="9"/>
    <w:rsid w:val="00DC7B7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C7B7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C7B7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DC7B7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DC7B7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DD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ACA12ACF4AF86DB8752D18C234E0DCAC33E0436CD692EC4E45E7BAF8EC2D72o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ACA12ACF4AF86DB86B200EAE6AECDDA76DE5406ADAC4B3111EBAED7Fo1F" TargetMode="External"/><Relationship Id="rId5" Type="http://schemas.openxmlformats.org/officeDocument/2006/relationships/hyperlink" Target="consultantplus://offline/ref=67A0ACA12ACF4AF86DB86B200EAE6AECDDA76DE5406ADAC4B3111EBAED7Fo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12</cp:revision>
  <cp:lastPrinted>2023-03-05T23:39:00Z</cp:lastPrinted>
  <dcterms:created xsi:type="dcterms:W3CDTF">2021-11-08T00:58:00Z</dcterms:created>
  <dcterms:modified xsi:type="dcterms:W3CDTF">2023-03-05T23:41:00Z</dcterms:modified>
</cp:coreProperties>
</file>