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80" w:rsidRPr="002D4B31" w:rsidRDefault="00965580" w:rsidP="0096558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65580" w:rsidRPr="002D4B31" w:rsidRDefault="00965580" w:rsidP="0096558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65580" w:rsidRPr="002D4B31" w:rsidRDefault="00965580" w:rsidP="0096558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5580" w:rsidRPr="002D4B31" w:rsidRDefault="00965580" w:rsidP="0096558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65580" w:rsidRPr="002D4B31" w:rsidRDefault="00965580" w:rsidP="0096558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580" w:rsidRPr="002D4B31" w:rsidRDefault="00965580" w:rsidP="0096558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580" w:rsidRPr="002D4B31" w:rsidRDefault="00965580" w:rsidP="0096558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36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65580" w:rsidRPr="002D4B31" w:rsidRDefault="00965580" w:rsidP="0096558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580" w:rsidRPr="002D4B31" w:rsidRDefault="00965580" w:rsidP="0096558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72114" w:rsidRDefault="00872114" w:rsidP="00872114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26DF" w:rsidRDefault="009426DF" w:rsidP="00872114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2114" w:rsidRPr="00872114" w:rsidRDefault="00872114" w:rsidP="0087211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 xml:space="preserve">Об утверждении муниципальной программы «Профилактика правонарушений и обеспечение общественной безопасности в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сельском посел</w:t>
      </w:r>
      <w:r w:rsidRPr="00872114">
        <w:rPr>
          <w:rFonts w:ascii="Times New Roman" w:eastAsia="Calibri" w:hAnsi="Times New Roman"/>
          <w:sz w:val="26"/>
          <w:szCs w:val="26"/>
        </w:rPr>
        <w:t>е</w:t>
      </w:r>
      <w:r w:rsidRPr="00872114">
        <w:rPr>
          <w:rFonts w:ascii="Times New Roman" w:eastAsia="Calibri" w:hAnsi="Times New Roman"/>
          <w:sz w:val="26"/>
          <w:szCs w:val="26"/>
        </w:rPr>
        <w:t>нии Николаевского муниципального района на 2018-2020 годы»</w:t>
      </w: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Default="00872114" w:rsidP="00872114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06.10.2003 г. №131-ФЗ «Об о</w:t>
      </w:r>
      <w:r w:rsidRPr="00872114">
        <w:rPr>
          <w:rFonts w:ascii="Times New Roman" w:eastAsia="Calibri" w:hAnsi="Times New Roman"/>
          <w:sz w:val="26"/>
          <w:szCs w:val="26"/>
        </w:rPr>
        <w:t>б</w:t>
      </w:r>
      <w:r w:rsidRPr="00872114">
        <w:rPr>
          <w:rFonts w:ascii="Times New Roman" w:eastAsia="Calibri" w:hAnsi="Times New Roman"/>
          <w:sz w:val="26"/>
          <w:szCs w:val="26"/>
        </w:rPr>
        <w:t xml:space="preserve">щих принципах организации местного самоуправления в Российской Федерации» и в целях обеспечения общественной безопасности и правопорядка в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</w:t>
      </w:r>
      <w:r w:rsidRPr="00872114">
        <w:rPr>
          <w:rFonts w:ascii="Times New Roman" w:eastAsia="Calibri" w:hAnsi="Times New Roman"/>
          <w:sz w:val="26"/>
          <w:szCs w:val="26"/>
        </w:rPr>
        <w:t>н</w:t>
      </w:r>
      <w:r w:rsidRPr="00872114">
        <w:rPr>
          <w:rFonts w:ascii="Times New Roman" w:eastAsia="Calibri" w:hAnsi="Times New Roman"/>
          <w:sz w:val="26"/>
          <w:szCs w:val="26"/>
        </w:rPr>
        <w:t>ском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Николаевского муниципального района, администрация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ПОСТАНОВЛЯЕТ: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 xml:space="preserve">1. Утвердить  прилагаемую муниципальную программу  «Профилактика правонарушений и обеспечение общественной безопасности в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Николаевского муниципального района на 2018-2020 годы».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>2. Опубликовать настоящее постановление в «Сборнике нормативных прав</w:t>
      </w:r>
      <w:r w:rsidRPr="00872114">
        <w:rPr>
          <w:rFonts w:ascii="Times New Roman" w:eastAsia="Calibri" w:hAnsi="Times New Roman"/>
          <w:sz w:val="26"/>
          <w:szCs w:val="26"/>
        </w:rPr>
        <w:t>о</w:t>
      </w:r>
      <w:r w:rsidRPr="00872114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872114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872114">
        <w:rPr>
          <w:rFonts w:ascii="Times New Roman" w:eastAsia="Calibri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ab/>
        <w:t>4. Постановление вступает в силу с 01 января 2018 года.</w:t>
      </w: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  <w:r w:rsidRPr="00872114">
        <w:rPr>
          <w:rFonts w:ascii="Times New Roman" w:eastAsia="Calibri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965580" w:rsidRDefault="00965580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965580" w:rsidRDefault="00965580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965580" w:rsidRDefault="00965580" w:rsidP="00872114">
      <w:pPr>
        <w:spacing w:line="240" w:lineRule="exact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spacing w:line="240" w:lineRule="exact"/>
        <w:ind w:left="4820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872114">
        <w:rPr>
          <w:rFonts w:ascii="Times New Roman" w:eastAsia="Calibri" w:hAnsi="Times New Roman"/>
          <w:sz w:val="28"/>
          <w:szCs w:val="28"/>
        </w:rPr>
        <w:lastRenderedPageBreak/>
        <w:t>УТВЕРЖДЕНА</w:t>
      </w:r>
    </w:p>
    <w:p w:rsidR="00872114" w:rsidRPr="00872114" w:rsidRDefault="00872114" w:rsidP="00872114">
      <w:pPr>
        <w:spacing w:line="240" w:lineRule="exact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872114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872114">
        <w:rPr>
          <w:rFonts w:ascii="Times New Roman" w:eastAsia="Calibri" w:hAnsi="Times New Roman"/>
          <w:sz w:val="28"/>
          <w:szCs w:val="28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8"/>
          <w:szCs w:val="28"/>
        </w:rPr>
        <w:t xml:space="preserve"> сельского пос</w:t>
      </w:r>
      <w:r w:rsidRPr="00872114">
        <w:rPr>
          <w:rFonts w:ascii="Times New Roman" w:eastAsia="Calibri" w:hAnsi="Times New Roman"/>
          <w:sz w:val="28"/>
          <w:szCs w:val="28"/>
        </w:rPr>
        <w:t>е</w:t>
      </w:r>
      <w:r w:rsidRPr="00872114">
        <w:rPr>
          <w:rFonts w:ascii="Times New Roman" w:eastAsia="Calibri" w:hAnsi="Times New Roman"/>
          <w:sz w:val="28"/>
          <w:szCs w:val="28"/>
        </w:rPr>
        <w:t>ления</w:t>
      </w:r>
    </w:p>
    <w:p w:rsidR="00872114" w:rsidRPr="00872114" w:rsidRDefault="00872114" w:rsidP="00872114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872114">
        <w:rPr>
          <w:rFonts w:ascii="Times New Roman" w:eastAsia="Calibri" w:hAnsi="Times New Roman"/>
          <w:color w:val="333333"/>
          <w:sz w:val="28"/>
          <w:szCs w:val="28"/>
        </w:rPr>
        <w:t xml:space="preserve">от  </w:t>
      </w:r>
      <w:r>
        <w:rPr>
          <w:rFonts w:ascii="Times New Roman" w:eastAsia="Calibri" w:hAnsi="Times New Roman"/>
          <w:color w:val="333333"/>
          <w:sz w:val="28"/>
          <w:szCs w:val="28"/>
        </w:rPr>
        <w:t>19.12.2017</w:t>
      </w:r>
      <w:r w:rsidRPr="00872114">
        <w:rPr>
          <w:rFonts w:ascii="Times New Roman" w:eastAsia="Calibri" w:hAnsi="Times New Roman"/>
          <w:color w:val="333333"/>
          <w:sz w:val="28"/>
          <w:szCs w:val="28"/>
        </w:rPr>
        <w:t xml:space="preserve">     №</w:t>
      </w:r>
      <w:r>
        <w:rPr>
          <w:rFonts w:ascii="Times New Roman" w:eastAsia="Calibri" w:hAnsi="Times New Roman"/>
          <w:color w:val="333333"/>
          <w:sz w:val="28"/>
          <w:szCs w:val="28"/>
        </w:rPr>
        <w:t xml:space="preserve"> 36-па</w:t>
      </w: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  <w:r w:rsidRPr="00872114">
        <w:rPr>
          <w:rFonts w:ascii="Times New Roman" w:eastAsia="Calibri" w:hAnsi="Times New Roman"/>
          <w:color w:val="333333"/>
          <w:sz w:val="28"/>
          <w:szCs w:val="28"/>
        </w:rPr>
        <w:t xml:space="preserve">                                                </w:t>
      </w:r>
    </w:p>
    <w:p w:rsidR="00872114" w:rsidRPr="00872114" w:rsidRDefault="00872114" w:rsidP="00872114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both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both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both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both"/>
        <w:rPr>
          <w:rFonts w:ascii="Times New Roman" w:eastAsia="Calibri" w:hAnsi="Times New Roman"/>
          <w:b/>
          <w:color w:val="333333"/>
          <w:sz w:val="32"/>
          <w:szCs w:val="32"/>
        </w:rPr>
      </w:pPr>
    </w:p>
    <w:p w:rsidR="00872114" w:rsidRPr="00872114" w:rsidRDefault="00872114" w:rsidP="00872114">
      <w:pPr>
        <w:shd w:val="clear" w:color="auto" w:fill="FFFFFF"/>
        <w:ind w:right="436"/>
        <w:jc w:val="center"/>
        <w:outlineLvl w:val="0"/>
        <w:rPr>
          <w:rFonts w:ascii="Times New Roman" w:eastAsia="Calibri" w:hAnsi="Times New Roman"/>
          <w:spacing w:val="-13"/>
          <w:sz w:val="32"/>
          <w:szCs w:val="32"/>
        </w:rPr>
      </w:pPr>
      <w:r w:rsidRPr="00872114">
        <w:rPr>
          <w:rFonts w:ascii="Times New Roman" w:eastAsia="Calibri" w:hAnsi="Times New Roman"/>
          <w:spacing w:val="-13"/>
          <w:sz w:val="32"/>
          <w:szCs w:val="32"/>
        </w:rPr>
        <w:t>МУНИЦИПАЛЬНАЯ  ПРОГРАММА</w:t>
      </w:r>
    </w:p>
    <w:p w:rsidR="00872114" w:rsidRPr="00872114" w:rsidRDefault="00872114" w:rsidP="00872114">
      <w:pPr>
        <w:shd w:val="clear" w:color="auto" w:fill="FFFFFF"/>
        <w:ind w:right="436"/>
        <w:jc w:val="center"/>
        <w:rPr>
          <w:rFonts w:ascii="Times New Roman" w:eastAsia="Calibri" w:hAnsi="Times New Roman"/>
          <w:spacing w:val="-13"/>
          <w:sz w:val="32"/>
          <w:szCs w:val="32"/>
        </w:rPr>
      </w:pPr>
      <w:r w:rsidRPr="00872114">
        <w:rPr>
          <w:rFonts w:ascii="Times New Roman" w:eastAsia="Calibri" w:hAnsi="Times New Roman"/>
          <w:spacing w:val="-13"/>
          <w:sz w:val="32"/>
          <w:szCs w:val="32"/>
        </w:rPr>
        <w:t>«ПРОФИЛАКТИКА ПРАВОНАРУШЕНИЙ И ОБЕСПЕЧЕНИЕ ОБЩЕСТВЕННОЙ БЕЗОПАСНОСТИ В НИЖНЕПРОНГЕНСКОМ  СЕЛЬСКОМ ПОСЕЛЕНИИ НИКОЛАЕВСКОГО  МУНИЦИПАЛ</w:t>
      </w:r>
      <w:r w:rsidRPr="00872114">
        <w:rPr>
          <w:rFonts w:ascii="Times New Roman" w:eastAsia="Calibri" w:hAnsi="Times New Roman"/>
          <w:spacing w:val="-13"/>
          <w:sz w:val="32"/>
          <w:szCs w:val="32"/>
        </w:rPr>
        <w:t>Ь</w:t>
      </w:r>
      <w:r w:rsidRPr="00872114">
        <w:rPr>
          <w:rFonts w:ascii="Times New Roman" w:eastAsia="Calibri" w:hAnsi="Times New Roman"/>
          <w:spacing w:val="-13"/>
          <w:sz w:val="32"/>
          <w:szCs w:val="32"/>
        </w:rPr>
        <w:t>НОГО РАЙОНА НА 2018-2020  ГОДЫ»</w:t>
      </w: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32"/>
          <w:szCs w:val="32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lastRenderedPageBreak/>
        <w:t>ПАСПОРТ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872114">
        <w:rPr>
          <w:rFonts w:ascii="Times New Roman" w:eastAsia="Calibri" w:hAnsi="Times New Roman"/>
          <w:sz w:val="26"/>
          <w:szCs w:val="26"/>
        </w:rPr>
        <w:t>муниципальной  программы  «Профилактика правонарушений и обеспечение о</w:t>
      </w:r>
      <w:r w:rsidRPr="00872114">
        <w:rPr>
          <w:rFonts w:ascii="Times New Roman" w:eastAsia="Calibri" w:hAnsi="Times New Roman"/>
          <w:sz w:val="26"/>
          <w:szCs w:val="26"/>
        </w:rPr>
        <w:t>б</w:t>
      </w:r>
      <w:r w:rsidRPr="00872114">
        <w:rPr>
          <w:rFonts w:ascii="Times New Roman" w:eastAsia="Calibri" w:hAnsi="Times New Roman"/>
          <w:sz w:val="26"/>
          <w:szCs w:val="26"/>
        </w:rPr>
        <w:t xml:space="preserve">щественной безопасности в </w:t>
      </w:r>
      <w:proofErr w:type="spellStart"/>
      <w:r w:rsidRPr="00872114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872114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</w:t>
      </w:r>
      <w:r w:rsidRPr="00872114">
        <w:rPr>
          <w:rFonts w:ascii="Times New Roman" w:eastAsia="Calibri" w:hAnsi="Times New Roman"/>
          <w:sz w:val="26"/>
          <w:szCs w:val="26"/>
        </w:rPr>
        <w:t>о</w:t>
      </w:r>
      <w:r w:rsidRPr="00872114">
        <w:rPr>
          <w:rFonts w:ascii="Times New Roman" w:eastAsia="Calibri" w:hAnsi="Times New Roman"/>
          <w:sz w:val="26"/>
          <w:szCs w:val="26"/>
        </w:rPr>
        <w:t>го муниципального района на 2018-2020 годы»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812"/>
      </w:tblGrid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  <w:p w:rsidR="00872114" w:rsidRPr="00872114" w:rsidRDefault="00872114" w:rsidP="00872114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color w:val="333333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Муниципальная программа «Профилактика пр</w:t>
            </w: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вонарушений и обеспечение общественной бе</w:t>
            </w: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опасности в </w:t>
            </w:r>
            <w:proofErr w:type="spellStart"/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Нижнепронгенском</w:t>
            </w:r>
            <w:proofErr w:type="spellEnd"/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сельском пос</w:t>
            </w: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87211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лении Николаевского муниципального района на 2018-2020 годы» (далее – программа)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№ 131-ФЗ от 06.10.2003 г. «Об общих принципах организации местного с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в Российской Федерации»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Заказчик и исполнители </w:t>
            </w:r>
          </w:p>
          <w:p w:rsidR="00872114" w:rsidRPr="00872114" w:rsidRDefault="00872114" w:rsidP="00872114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Нижнепронгенского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поселения;</w:t>
            </w:r>
          </w:p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гласованию);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Муниципальное бюджетное общеобразовател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ное учреждение  основная общеобразовательная школа п. Нижнее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, далее МБОУ ООШ п. Нижнее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pacing w:val="5"/>
                <w:sz w:val="26"/>
                <w:szCs w:val="26"/>
              </w:rPr>
              <w:t>Укрепление правопорядка и обеспечение  о</w:t>
            </w:r>
            <w:r w:rsidRPr="00872114">
              <w:rPr>
                <w:rFonts w:ascii="Times New Roman" w:eastAsia="Calibri" w:hAnsi="Times New Roman"/>
                <w:spacing w:val="5"/>
                <w:sz w:val="26"/>
                <w:szCs w:val="26"/>
              </w:rPr>
              <w:t>б</w:t>
            </w:r>
            <w:r w:rsidRPr="00872114">
              <w:rPr>
                <w:rFonts w:ascii="Times New Roman" w:eastAsia="Calibri" w:hAnsi="Times New Roman"/>
                <w:spacing w:val="5"/>
                <w:sz w:val="26"/>
                <w:szCs w:val="26"/>
              </w:rPr>
              <w:t xml:space="preserve">щественной безопасности и правопорядка </w:t>
            </w:r>
            <w:r w:rsidRPr="00872114">
              <w:rPr>
                <w:rFonts w:ascii="Times New Roman" w:eastAsia="Calibri" w:hAnsi="Times New Roman"/>
                <w:spacing w:val="-1"/>
                <w:sz w:val="26"/>
                <w:szCs w:val="26"/>
              </w:rPr>
              <w:t xml:space="preserve"> на территории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Нижнепронгенского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ления Николаевского муниципального района 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Совершенствование нормативно-правовой базы в сфере профилактики правонарушений;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- снижение уровня преступности и стабилизация </w:t>
            </w:r>
            <w:proofErr w:type="gram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криминогенной обстановки</w:t>
            </w:r>
            <w:proofErr w:type="gram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ж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непронгенского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Николае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развитие системы социальной профилактики правонарушений, направленной, прежде всего на борьбу с пьянством и алкоголизмом, безнадзо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ностью и беспризорностью несовершеннолетних, незаконной миграцией;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повышение уровня межведомственного взаим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действия в сфере профилактики правонарушений;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стимулирование и поддержка гражданских ин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циатив по организации охраны общественного порядка и другой правоохранительной напра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ленности;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формирование позитивного общественного мнения у населения о правоохранительной де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я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тельности с целью повышения доверия к работе органов правопорядка;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обеспечение полного использования комплекса технических средств контроля над ситуацией на улицах и в общественных местах, в жилом сект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ре, повышение оперативности реагирования на заявления и сообщения о преступлениях, прав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нарушениях и происшествиях;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- выявление и устранение причин и условий, сп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собствующих совершению правонарушений и преступлений.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pacing w:val="1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pacing w:val="1"/>
                <w:sz w:val="26"/>
                <w:szCs w:val="26"/>
              </w:rPr>
              <w:t>Реализация программы рассчитана на период с 2018 по 2020 годы.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pacing w:val="1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pacing w:val="1"/>
                <w:sz w:val="26"/>
                <w:szCs w:val="26"/>
              </w:rPr>
              <w:t>Этапы программы: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pacing w:val="1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pacing w:val="1"/>
                <w:sz w:val="26"/>
                <w:szCs w:val="26"/>
              </w:rPr>
              <w:t>1 этап – 2018 год;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pacing w:val="1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pacing w:val="1"/>
                <w:sz w:val="26"/>
                <w:szCs w:val="26"/>
              </w:rPr>
              <w:t>2 этап – 2019 год;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pacing w:val="1"/>
                <w:sz w:val="26"/>
                <w:szCs w:val="26"/>
              </w:rPr>
              <w:t>3 этап – 2020 год.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Ожидаемые результаты   </w:t>
            </w:r>
          </w:p>
          <w:p w:rsidR="00872114" w:rsidRPr="00872114" w:rsidRDefault="00872114" w:rsidP="00872114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реализации программы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Снижение уровня преступности на территории </w:t>
            </w:r>
            <w:proofErr w:type="spellStart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района;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эффективности системы социальной профилактики правонарушений;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привлечение к организации деятельности по предупреждению правонарушений предприятий, учреждений, организаций всех форм собственн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сти, общественных объединений;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обеспечение нормативно-правового регулиров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профилактики правонарушений;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информационного обеспечения де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государственных и общественных об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единений по борьбе с преступностью и проф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лактике правонарушений;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профилактики правонарушений в среде несовершеннолетних и молодежи.</w:t>
            </w:r>
          </w:p>
        </w:tc>
      </w:tr>
      <w:tr w:rsidR="00872114" w:rsidRPr="00872114" w:rsidTr="001D47C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Объемы и источники</w:t>
            </w:r>
          </w:p>
          <w:p w:rsidR="00872114" w:rsidRPr="00872114" w:rsidRDefault="00872114" w:rsidP="00872114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финансирования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ж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непронгенского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поселения. Общий объем средств местного бюджета на реализацию программы составит: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       68,0  тыс. рублей, в том числе: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в 2018 году –   39,5  тыс. рублей</w:t>
            </w:r>
          </w:p>
          <w:p w:rsidR="00872114" w:rsidRPr="00872114" w:rsidRDefault="00872114" w:rsidP="0087211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в 2019 году –   13,0  тыс. рублей</w:t>
            </w:r>
          </w:p>
          <w:p w:rsidR="00872114" w:rsidRPr="00872114" w:rsidRDefault="00872114" w:rsidP="008721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2020 году –   15,5  тыс. рублей</w:t>
            </w:r>
          </w:p>
        </w:tc>
      </w:tr>
    </w:tbl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>Содержание проблемы и обоснование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 необходимости её решения программными методами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 </w:t>
      </w:r>
    </w:p>
    <w:p w:rsidR="00872114" w:rsidRPr="00872114" w:rsidRDefault="00872114" w:rsidP="0087211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В целях формирования на территории 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ления  эффективной системы профилактики правонарушений возникла необход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мость разработки и принятия муниципальной программы профилактики правон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рушений в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на 2018-2020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дан в направлении формирования их законопослушного поведения и правового воспитания, профилактики правонарушений.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дол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ны решаться программными методами.</w:t>
      </w: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872114" w:rsidRPr="00872114" w:rsidRDefault="00872114" w:rsidP="00872114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Основные цели и задачи, сроки и этапы реализации программы</w:t>
      </w:r>
    </w:p>
    <w:p w:rsidR="00872114" w:rsidRPr="00872114" w:rsidRDefault="00872114" w:rsidP="00872114">
      <w:pPr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селения. Для достижения поставленной цели реализация мероприятий программы будет направлена на решение следующих основных задач: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дополнительное усиление мер по обеспечению занятости несовершенн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летних в свободное время в целях недопущения безнадзорности и профилактики правонарушений несовершеннолетних;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совершенствование профилактики преступлений и иных правонарушений среди молодежи;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конной миграцией, на социализацию лиц, освободившихся из мест лишения своб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ды;</w:t>
      </w:r>
      <w:proofErr w:type="gramEnd"/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стабилизация и создание предпосылок для снижения уровня преступности на улицах и в других общественных местах;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- выявление и преодоление негативных тенденций, тормозящих устойчивое социальное и культурное развитие поселения; 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Реализация программы рассчитана на 3-летний период, с 2018 по 2020 годы, в течение которого предусматриваются: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преступностью, безнадзорностью и бе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призорностью несовершеннолетних, пьянством, алкоголизмом, незаконной мигр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цией, на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ресоциализацию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лиц, освободившихся из мест лишения свободы;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создание благоприятной и максимально безопасной для населения обст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новки в жилом секторе, на улицах и в других общественных местах.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Система программных мероприятий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72114" w:rsidRPr="00872114" w:rsidRDefault="00872114" w:rsidP="0087211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Мероприятия, предлагаемые к реализации и направленные на решение 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новных задач программы, с указанием финансовых ресурсов и сроков, необход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мых для их реализации, приведены в приложении к программе.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Механизм реализации программы, организация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управления программой и </w:t>
      </w:r>
      <w:proofErr w:type="gramStart"/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контроль за</w:t>
      </w:r>
      <w:proofErr w:type="gramEnd"/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ходом ее реализации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72114" w:rsidRPr="00872114" w:rsidRDefault="00872114" w:rsidP="0087211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Руководителем программы является Глава 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поселения.</w:t>
      </w:r>
    </w:p>
    <w:p w:rsidR="00872114" w:rsidRPr="00872114" w:rsidRDefault="00872114" w:rsidP="0087211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С учетом выделяемых на реализацию программы финансовых средств еж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годно уточняет целевые показатели и затраты по программным мероприятиям, м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ханизм реализации программы, состав исполнителей в установленном порядке. При необходимости готовит предложения о корректировке сроков реализации пр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граммы и перечня программных мероприятий.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Реализацию программы предусматривается осуществлять по ее основным направлениям с учетом положений федерального и краевого законодательства п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средством исполнения мероприятий программы, направленных на профилактику правонарушений в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поселении. Перечень основных направлений и мероприятий программы содержится в приложении к настоящей программе.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поселения, которая осуществляет обобщение и подг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Контроль за</w:t>
      </w:r>
      <w:proofErr w:type="gram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реализацией программы осуществляют Администрация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поселения, Совет депутатов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ь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ского поселения в соответствии с бюджетным законодательством Российской Ф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дерации.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Одновременно с годовым отчетом об исполнении местного бюджета Адм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нистрация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ежегодно представляет в С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вет депутатов </w:t>
      </w:r>
      <w:proofErr w:type="spellStart"/>
      <w:r w:rsidRPr="00872114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отчет о реализации пр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граммы в отчетном финансовом году.</w:t>
      </w:r>
    </w:p>
    <w:p w:rsidR="00872114" w:rsidRPr="00872114" w:rsidRDefault="00872114" w:rsidP="00872114">
      <w:pPr>
        <w:ind w:firstLine="708"/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872114" w:rsidRPr="00872114" w:rsidRDefault="00872114" w:rsidP="00872114">
      <w:pPr>
        <w:ind w:firstLine="708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 xml:space="preserve">Оценка эффективности </w:t>
      </w:r>
      <w:proofErr w:type="gramStart"/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>социально-экономических</w:t>
      </w:r>
      <w:proofErr w:type="gramEnd"/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последствий от реализации программы</w:t>
      </w:r>
    </w:p>
    <w:p w:rsidR="00872114" w:rsidRPr="00872114" w:rsidRDefault="00872114" w:rsidP="00872114">
      <w:pPr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872114" w:rsidRPr="00872114" w:rsidRDefault="00872114" w:rsidP="00872114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Выполнение профилактических мероприятий программы обеспечит форм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рование позитивных моральных и нравственных ценностей, определяющих отр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цательное отношение к потреблению алкоголя, выбор здорового образа жизни по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 xml:space="preserve">ростками и молодежью. 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К числу ожидаемых показателей эффективности и результативности пр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граммы по группе социально значимых результатов относятся следующие показ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тели: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снижение социальной напряженности в обществе, обусловленной снижен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872114">
        <w:rPr>
          <w:rFonts w:ascii="Times New Roman" w:eastAsia="Calibri" w:hAnsi="Times New Roman"/>
          <w:sz w:val="26"/>
          <w:szCs w:val="26"/>
          <w:lang w:eastAsia="ru-RU"/>
        </w:rPr>
        <w:t>ем уровня преступности на улицах и в общественных местах;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72114">
        <w:rPr>
          <w:rFonts w:ascii="Times New Roman" w:eastAsia="Calibri" w:hAnsi="Times New Roman"/>
          <w:sz w:val="26"/>
          <w:szCs w:val="26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contextualSpacing/>
        <w:rPr>
          <w:rFonts w:ascii="Times New Roman" w:eastAsia="Calibri" w:hAnsi="Times New Roman"/>
          <w:sz w:val="26"/>
          <w:szCs w:val="26"/>
        </w:rPr>
      </w:pPr>
    </w:p>
    <w:p w:rsidR="00872114" w:rsidRDefault="00872114" w:rsidP="00872114">
      <w:pPr>
        <w:contextualSpacing/>
        <w:rPr>
          <w:rFonts w:ascii="Times New Roman" w:eastAsia="Calibri" w:hAnsi="Times New Roman"/>
          <w:sz w:val="26"/>
          <w:szCs w:val="26"/>
        </w:rPr>
        <w:sectPr w:rsidR="00872114" w:rsidSect="00DC2D3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72114" w:rsidRPr="00872114" w:rsidRDefault="00872114" w:rsidP="00872114">
      <w:pPr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</w:p>
    <w:p w:rsidR="00872114" w:rsidRPr="00872114" w:rsidRDefault="00872114" w:rsidP="00872114">
      <w:pPr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2114" w:rsidRPr="00872114" w:rsidRDefault="00872114" w:rsidP="00872114">
      <w:pPr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«Профилактика прав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нарушений и обеспечение общественной безопасн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в </w:t>
      </w:r>
      <w:proofErr w:type="spellStart"/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Ник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 на 2018-2020 г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72114">
        <w:rPr>
          <w:rFonts w:ascii="Times New Roman" w:eastAsia="Times New Roman" w:hAnsi="Times New Roman"/>
          <w:sz w:val="26"/>
          <w:szCs w:val="26"/>
          <w:lang w:eastAsia="ru-RU"/>
        </w:rPr>
        <w:t>ды»</w:t>
      </w:r>
    </w:p>
    <w:p w:rsidR="00872114" w:rsidRPr="00872114" w:rsidRDefault="00872114" w:rsidP="0087211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114" w:rsidRPr="00872114" w:rsidRDefault="00872114" w:rsidP="0087211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114" w:rsidRPr="00872114" w:rsidRDefault="00872114" w:rsidP="0087211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 мероприятия муниципальной программы</w:t>
      </w:r>
    </w:p>
    <w:p w:rsidR="00872114" w:rsidRPr="00872114" w:rsidRDefault="00872114" w:rsidP="0087211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«Профилактика правонарушений и обеспечение общественной безопасности в </w:t>
      </w:r>
      <w:proofErr w:type="spellStart"/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>Нижнепронгенском</w:t>
      </w:r>
      <w:proofErr w:type="spellEnd"/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</w:t>
      </w:r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селении </w:t>
      </w:r>
    </w:p>
    <w:p w:rsidR="00872114" w:rsidRPr="00872114" w:rsidRDefault="00872114" w:rsidP="0087211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Николаевского муниципального района на 2018-2020 годы» </w:t>
      </w:r>
    </w:p>
    <w:p w:rsidR="00872114" w:rsidRPr="00872114" w:rsidRDefault="00872114" w:rsidP="00872114">
      <w:pP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60"/>
        <w:tblW w:w="15484" w:type="dxa"/>
        <w:tblLayout w:type="fixed"/>
        <w:tblLook w:val="0000" w:firstRow="0" w:lastRow="0" w:firstColumn="0" w:lastColumn="0" w:noHBand="0" w:noVBand="0"/>
      </w:tblPr>
      <w:tblGrid>
        <w:gridCol w:w="633"/>
        <w:gridCol w:w="42"/>
        <w:gridCol w:w="3934"/>
        <w:gridCol w:w="38"/>
        <w:gridCol w:w="4108"/>
        <w:gridCol w:w="97"/>
        <w:gridCol w:w="41"/>
        <w:gridCol w:w="1338"/>
        <w:gridCol w:w="1782"/>
        <w:gridCol w:w="1151"/>
        <w:gridCol w:w="6"/>
        <w:gridCol w:w="1146"/>
        <w:gridCol w:w="11"/>
        <w:gridCol w:w="1141"/>
        <w:gridCol w:w="16"/>
      </w:tblGrid>
      <w:tr w:rsidR="00872114" w:rsidRPr="00872114" w:rsidTr="001D47CB">
        <w:trPr>
          <w:trHeight w:val="27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Мероприятия   Программы                                            </w:t>
            </w:r>
          </w:p>
        </w:tc>
        <w:tc>
          <w:tcPr>
            <w:tcW w:w="4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Срок</w:t>
            </w:r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</w:t>
            </w:r>
            <w:proofErr w:type="spellEnd"/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Источник</w:t>
            </w:r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финансирова</w:t>
            </w:r>
            <w:proofErr w:type="spellEnd"/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Сумма затрат тыс. руб.</w:t>
            </w:r>
          </w:p>
        </w:tc>
      </w:tr>
      <w:tr w:rsidR="00872114" w:rsidRPr="00872114" w:rsidTr="001D47CB">
        <w:trPr>
          <w:trHeight w:val="272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2020</w:t>
            </w:r>
          </w:p>
        </w:tc>
      </w:tr>
      <w:tr w:rsidR="00872114" w:rsidRPr="00872114" w:rsidTr="001D47CB">
        <w:trPr>
          <w:trHeight w:val="272"/>
        </w:trPr>
        <w:tc>
          <w:tcPr>
            <w:tcW w:w="15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Профилактика правонарушений несовершеннолетних и молодёжи</w:t>
            </w:r>
          </w:p>
        </w:tc>
      </w:tr>
      <w:tr w:rsidR="00872114" w:rsidRPr="00872114" w:rsidTr="001D47CB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 исполнения зак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нодательства в части раннего выявления несовершеннолетних, склонных к злоупотреблению наркотиками, алкоголем, орган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индивидуальной проф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лактической работы с несове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шеннолетними «группы риска»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согласованию);</w:t>
            </w:r>
          </w:p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МБОУ ООШ п. </w:t>
            </w:r>
            <w:proofErr w:type="gram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Нижнее</w:t>
            </w:r>
            <w:proofErr w:type="gram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2018-2020 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обучающихся, с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стоящих на учете в комиссиях по делам несовершеннолетних, в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работу кружков и секций на б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  учреждений культуры, шк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лы.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ОМВД России по Николаевскому </w:t>
            </w:r>
            <w:r w:rsidRPr="0087211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району (по согласованию);</w:t>
            </w:r>
          </w:p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МБОУ ООШ п. </w:t>
            </w:r>
            <w:proofErr w:type="gram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Нижнее</w:t>
            </w:r>
            <w:proofErr w:type="gram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2018-2020 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адресных обходов мест проживания неблагополу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семей, проведение разъя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бесед о соблюдении требований пожарной безопа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раздача информационных буклетов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2018-2020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осуществления и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</w:t>
            </w:r>
          </w:p>
          <w:p w:rsidR="00872114" w:rsidRPr="00872114" w:rsidRDefault="00872114" w:rsidP="0087211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2018-2020 годы</w:t>
            </w:r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Регулярное проведение анализа динамики преступности и пр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вонарушений на территории </w:t>
            </w:r>
            <w:proofErr w:type="spellStart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поселения, структуры правон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рушений, причин и условий, способствующих их совершению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</w:t>
            </w:r>
          </w:p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2018-2020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trHeight w:val="440"/>
        </w:trPr>
        <w:tc>
          <w:tcPr>
            <w:tcW w:w="15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pacing w:before="15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8721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2.Профилактика правонарушений по предупреждению террористических актов </w:t>
            </w: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бесед с жителями поселения в учрежд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ниях культуры, образовательных учреждениях с приглашением работников правоохранительных органов для предотвращения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конфликтов на межнационал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межрелигиозной почве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согласованию);</w:t>
            </w:r>
          </w:p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МБОУ ООШ п. </w:t>
            </w:r>
            <w:proofErr w:type="gram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Нижнее</w:t>
            </w:r>
            <w:proofErr w:type="gram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872114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872114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tabs>
                <w:tab w:val="left" w:pos="1026"/>
              </w:tabs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профилактической работы по антитеррористической защищенности граждан, инфо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мационные буклеты по проф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лактике правонарушений и </w:t>
            </w:r>
            <w:proofErr w:type="gramStart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печении</w:t>
            </w:r>
            <w:proofErr w:type="gramEnd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общественной безопа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предупреждению терр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ристических актов в поселении 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информирования населения о действиях при угр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 возникновения террористич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актов в местах массового пребывания граждан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круглосуточного наблюдения посредством </w:t>
            </w:r>
            <w:proofErr w:type="spellStart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деофиксации</w:t>
            </w:r>
            <w:proofErr w:type="spellEnd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периметра зданий общего пользования, участков местности, на которых возмо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 противоправные деяния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872114" w:rsidRPr="00872114" w:rsidTr="001D47CB">
        <w:trPr>
          <w:gridAfter w:val="1"/>
          <w:wAfter w:w="16" w:type="dxa"/>
          <w:trHeight w:val="694"/>
        </w:trPr>
        <w:tc>
          <w:tcPr>
            <w:tcW w:w="1546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8721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3.Профилактика нарушений законодательства о гражданстве, предупреждение </w:t>
            </w:r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 пресечение нелегальной миграции</w:t>
            </w: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в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явлению нарушений гражданами Российской Федерации правил регистрации по месту пребыв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по месту жительства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pacing w:before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сбора информации о пребывании трудовых мигра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тов и усиление </w:t>
            </w:r>
            <w:proofErr w:type="gramStart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трудовой деятельностью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gridAfter w:val="1"/>
          <w:wAfter w:w="16" w:type="dxa"/>
          <w:trHeight w:val="443"/>
        </w:trPr>
        <w:tc>
          <w:tcPr>
            <w:tcW w:w="154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 Информационно-методическое обеспечение профилактики правонарушений.</w:t>
            </w:r>
          </w:p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72114" w:rsidRPr="00872114" w:rsidTr="001D47CB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proofErr w:type="spellStart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 сп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собах и средствах правомерной защиты от преступных и иных посягательств, путем проведения соответствующей разъяснител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работы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ind w:left="-104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gridAfter w:val="1"/>
          <w:wAfter w:w="16" w:type="dxa"/>
          <w:trHeight w:val="589"/>
        </w:trPr>
        <w:tc>
          <w:tcPr>
            <w:tcW w:w="1546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5.Профилактика правонарушений среди лиц, освобожденных из мест лишения свободы</w:t>
            </w:r>
          </w:p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2114" w:rsidRPr="00872114" w:rsidTr="001D47CB">
        <w:trPr>
          <w:gridAfter w:val="1"/>
          <w:wAfter w:w="16" w:type="dxa"/>
          <w:trHeight w:val="13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своевременного информирования главы посел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лицах, освобождающихся из мест лишения свободы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8721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872114" w:rsidRPr="00872114" w:rsidRDefault="00872114" w:rsidP="00872114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72114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согласованию)</w:t>
            </w:r>
          </w:p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2018-2020 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72114" w:rsidRPr="00872114" w:rsidTr="001D47CB">
        <w:trPr>
          <w:gridAfter w:val="1"/>
          <w:wAfter w:w="16" w:type="dxa"/>
          <w:trHeight w:val="4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15,5</w:t>
            </w:r>
          </w:p>
        </w:tc>
      </w:tr>
      <w:tr w:rsidR="00872114" w:rsidRPr="00872114" w:rsidTr="001D47CB">
        <w:trPr>
          <w:gridAfter w:val="1"/>
          <w:wAfter w:w="16" w:type="dxa"/>
          <w:trHeight w:val="30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8721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68,0</w:t>
            </w:r>
          </w:p>
        </w:tc>
      </w:tr>
      <w:tr w:rsidR="00872114" w:rsidRPr="00872114" w:rsidTr="001D47CB">
        <w:trPr>
          <w:gridAfter w:val="1"/>
          <w:wAfter w:w="16" w:type="dxa"/>
          <w:trHeight w:val="2836"/>
        </w:trPr>
        <w:tc>
          <w:tcPr>
            <w:tcW w:w="15468" w:type="dxa"/>
            <w:gridSpan w:val="14"/>
            <w:tcBorders>
              <w:top w:val="single" w:sz="4" w:space="0" w:color="000000"/>
              <w:bottom w:val="nil"/>
            </w:tcBorders>
          </w:tcPr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872114" w:rsidRPr="00872114" w:rsidRDefault="00872114" w:rsidP="0087211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872114" w:rsidRPr="00872114" w:rsidRDefault="00872114" w:rsidP="0087211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2114" w:rsidRPr="00872114" w:rsidRDefault="00872114" w:rsidP="00872114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2114" w:rsidRPr="00872114" w:rsidRDefault="00872114" w:rsidP="00872114">
      <w:pPr>
        <w:contextualSpacing/>
        <w:rPr>
          <w:rFonts w:ascii="Times New Roman" w:eastAsia="Calibri" w:hAnsi="Times New Roman"/>
          <w:sz w:val="26"/>
          <w:szCs w:val="26"/>
        </w:rPr>
      </w:pPr>
    </w:p>
    <w:p w:rsidR="00872114" w:rsidRPr="00872114" w:rsidRDefault="00872114" w:rsidP="00872114">
      <w:pPr>
        <w:jc w:val="both"/>
        <w:rPr>
          <w:sz w:val="26"/>
          <w:szCs w:val="26"/>
        </w:rPr>
      </w:pPr>
    </w:p>
    <w:sectPr w:rsidR="00872114" w:rsidRPr="00872114" w:rsidSect="0087211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1B44"/>
    <w:multiLevelType w:val="hybridMultilevel"/>
    <w:tmpl w:val="970044D2"/>
    <w:lvl w:ilvl="0" w:tplc="C0A872A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9"/>
    <w:rsid w:val="00315C09"/>
    <w:rsid w:val="00872114"/>
    <w:rsid w:val="009426DF"/>
    <w:rsid w:val="00946767"/>
    <w:rsid w:val="00965580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26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26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2018-01-15T02:50:00Z</cp:lastPrinted>
  <dcterms:created xsi:type="dcterms:W3CDTF">2018-01-15T02:39:00Z</dcterms:created>
  <dcterms:modified xsi:type="dcterms:W3CDTF">2018-01-15T02:53:00Z</dcterms:modified>
</cp:coreProperties>
</file>