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4" w:rsidRPr="00413EEC" w:rsidRDefault="00FE1324" w:rsidP="00FE1324">
      <w:pPr>
        <w:jc w:val="center"/>
        <w:rPr>
          <w:color w:val="auto"/>
          <w:sz w:val="26"/>
          <w:szCs w:val="24"/>
        </w:rPr>
      </w:pPr>
    </w:p>
    <w:p w:rsidR="0092741D" w:rsidRPr="0092741D" w:rsidRDefault="0092741D" w:rsidP="0092741D">
      <w:pPr>
        <w:spacing w:line="240" w:lineRule="exact"/>
        <w:jc w:val="center"/>
        <w:rPr>
          <w:b/>
          <w:color w:val="auto"/>
          <w:sz w:val="26"/>
          <w:szCs w:val="26"/>
        </w:rPr>
      </w:pPr>
      <w:r w:rsidRPr="0092741D">
        <w:rPr>
          <w:color w:val="auto"/>
          <w:sz w:val="24"/>
          <w:szCs w:val="24"/>
        </w:rPr>
        <w:t xml:space="preserve">    </w:t>
      </w:r>
      <w:r w:rsidRPr="0092741D">
        <w:rPr>
          <w:b/>
          <w:color w:val="auto"/>
          <w:sz w:val="26"/>
          <w:szCs w:val="26"/>
        </w:rPr>
        <w:t xml:space="preserve">Совет депутатов </w:t>
      </w:r>
      <w:proofErr w:type="spellStart"/>
      <w:r w:rsidRPr="0092741D">
        <w:rPr>
          <w:b/>
          <w:color w:val="auto"/>
          <w:sz w:val="26"/>
          <w:szCs w:val="26"/>
        </w:rPr>
        <w:t>Нижнепронгенского</w:t>
      </w:r>
      <w:proofErr w:type="spellEnd"/>
      <w:r w:rsidRPr="0092741D">
        <w:rPr>
          <w:b/>
          <w:color w:val="auto"/>
          <w:sz w:val="26"/>
          <w:szCs w:val="26"/>
        </w:rPr>
        <w:t xml:space="preserve"> сельского поселения</w:t>
      </w:r>
    </w:p>
    <w:p w:rsidR="0092741D" w:rsidRPr="0092741D" w:rsidRDefault="0092741D" w:rsidP="0092741D">
      <w:pPr>
        <w:spacing w:line="240" w:lineRule="exact"/>
        <w:jc w:val="center"/>
        <w:rPr>
          <w:b/>
          <w:color w:val="auto"/>
          <w:sz w:val="26"/>
          <w:szCs w:val="26"/>
        </w:rPr>
      </w:pPr>
      <w:r w:rsidRPr="0092741D">
        <w:rPr>
          <w:b/>
          <w:color w:val="auto"/>
          <w:sz w:val="26"/>
          <w:szCs w:val="26"/>
        </w:rPr>
        <w:t>Николаевского муниципального района Хабаровского края</w:t>
      </w:r>
    </w:p>
    <w:p w:rsidR="0092741D" w:rsidRPr="0092741D" w:rsidRDefault="0092741D" w:rsidP="0092741D">
      <w:pPr>
        <w:spacing w:line="240" w:lineRule="exact"/>
        <w:jc w:val="center"/>
        <w:rPr>
          <w:b/>
          <w:color w:val="auto"/>
          <w:sz w:val="26"/>
          <w:szCs w:val="26"/>
        </w:rPr>
      </w:pPr>
    </w:p>
    <w:p w:rsidR="0092741D" w:rsidRPr="0092741D" w:rsidRDefault="0092741D" w:rsidP="0092741D">
      <w:pPr>
        <w:spacing w:line="240" w:lineRule="exact"/>
        <w:jc w:val="center"/>
        <w:rPr>
          <w:b/>
          <w:color w:val="auto"/>
          <w:sz w:val="26"/>
          <w:szCs w:val="26"/>
        </w:rPr>
      </w:pPr>
      <w:r w:rsidRPr="0092741D">
        <w:rPr>
          <w:b/>
          <w:color w:val="auto"/>
          <w:sz w:val="26"/>
          <w:szCs w:val="26"/>
        </w:rPr>
        <w:t>РЕШЕНИЕ</w:t>
      </w:r>
    </w:p>
    <w:p w:rsidR="0092741D" w:rsidRPr="0092741D" w:rsidRDefault="0092741D" w:rsidP="0092741D">
      <w:pPr>
        <w:spacing w:line="240" w:lineRule="exact"/>
        <w:jc w:val="both"/>
        <w:rPr>
          <w:color w:val="auto"/>
          <w:sz w:val="26"/>
          <w:szCs w:val="26"/>
        </w:rPr>
      </w:pPr>
    </w:p>
    <w:p w:rsidR="0092741D" w:rsidRPr="0092741D" w:rsidRDefault="0092741D" w:rsidP="0092741D">
      <w:pPr>
        <w:spacing w:line="240" w:lineRule="exact"/>
        <w:jc w:val="both"/>
        <w:rPr>
          <w:color w:val="auto"/>
          <w:sz w:val="26"/>
          <w:szCs w:val="26"/>
        </w:rPr>
      </w:pPr>
      <w:r w:rsidRPr="0092741D">
        <w:rPr>
          <w:color w:val="auto"/>
          <w:sz w:val="26"/>
          <w:szCs w:val="26"/>
        </w:rPr>
        <w:t xml:space="preserve">20.12.2017                                                                                 </w:t>
      </w:r>
      <w:r>
        <w:rPr>
          <w:color w:val="auto"/>
          <w:sz w:val="26"/>
          <w:szCs w:val="26"/>
        </w:rPr>
        <w:t xml:space="preserve">                        № 61-180</w:t>
      </w:r>
      <w:r w:rsidRPr="0092741D">
        <w:rPr>
          <w:color w:val="auto"/>
          <w:sz w:val="26"/>
          <w:szCs w:val="26"/>
        </w:rPr>
        <w:t xml:space="preserve">                                                                      </w:t>
      </w:r>
    </w:p>
    <w:p w:rsidR="0092741D" w:rsidRPr="0092741D" w:rsidRDefault="0092741D" w:rsidP="0092741D">
      <w:pPr>
        <w:spacing w:line="240" w:lineRule="exact"/>
        <w:jc w:val="both"/>
        <w:rPr>
          <w:color w:val="auto"/>
          <w:sz w:val="26"/>
          <w:szCs w:val="26"/>
        </w:rPr>
      </w:pPr>
      <w:r w:rsidRPr="0092741D">
        <w:rPr>
          <w:color w:val="auto"/>
          <w:sz w:val="26"/>
          <w:szCs w:val="26"/>
        </w:rPr>
        <w:t xml:space="preserve"> </w:t>
      </w:r>
    </w:p>
    <w:p w:rsidR="0092741D" w:rsidRPr="0092741D" w:rsidRDefault="0092741D" w:rsidP="0092741D">
      <w:pPr>
        <w:spacing w:line="240" w:lineRule="exact"/>
        <w:jc w:val="center"/>
        <w:rPr>
          <w:color w:val="auto"/>
          <w:sz w:val="26"/>
          <w:szCs w:val="26"/>
        </w:rPr>
      </w:pPr>
      <w:r w:rsidRPr="0092741D">
        <w:rPr>
          <w:color w:val="auto"/>
          <w:sz w:val="26"/>
          <w:szCs w:val="26"/>
        </w:rPr>
        <w:t xml:space="preserve">пос. Нижнее </w:t>
      </w:r>
      <w:proofErr w:type="spellStart"/>
      <w:r w:rsidRPr="0092741D">
        <w:rPr>
          <w:color w:val="auto"/>
          <w:sz w:val="26"/>
          <w:szCs w:val="26"/>
        </w:rPr>
        <w:t>Пронге</w:t>
      </w:r>
      <w:proofErr w:type="spellEnd"/>
    </w:p>
    <w:p w:rsidR="0092741D" w:rsidRPr="0092741D" w:rsidRDefault="0092741D" w:rsidP="0092741D">
      <w:pPr>
        <w:rPr>
          <w:color w:val="auto"/>
          <w:sz w:val="24"/>
          <w:szCs w:val="24"/>
        </w:rPr>
      </w:pPr>
    </w:p>
    <w:p w:rsidR="00FE1324" w:rsidRDefault="00FE1324" w:rsidP="00FE1324">
      <w:pPr>
        <w:rPr>
          <w:color w:val="auto"/>
          <w:sz w:val="26"/>
          <w:szCs w:val="24"/>
        </w:rPr>
      </w:pPr>
    </w:p>
    <w:p w:rsidR="00FE1324" w:rsidRPr="00413EEC" w:rsidRDefault="004F4AC1" w:rsidP="00FE1324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="006731E9">
        <w:rPr>
          <w:color w:val="auto"/>
          <w:sz w:val="26"/>
          <w:szCs w:val="26"/>
        </w:rPr>
        <w:t>Нижнепронгенского</w:t>
      </w:r>
      <w:proofErr w:type="spellEnd"/>
      <w:r w:rsidR="006731E9">
        <w:rPr>
          <w:color w:val="auto"/>
          <w:sz w:val="26"/>
          <w:szCs w:val="26"/>
        </w:rPr>
        <w:t xml:space="preserve"> сельского </w:t>
      </w:r>
      <w:r>
        <w:rPr>
          <w:color w:val="auto"/>
          <w:sz w:val="26"/>
          <w:szCs w:val="26"/>
        </w:rPr>
        <w:t xml:space="preserve"> поселения Николаевского муниципального района от </w:t>
      </w:r>
      <w:r w:rsidR="006731E9">
        <w:rPr>
          <w:color w:val="auto"/>
          <w:sz w:val="26"/>
          <w:szCs w:val="26"/>
        </w:rPr>
        <w:t>17.10.2016</w:t>
      </w:r>
      <w:r>
        <w:rPr>
          <w:color w:val="auto"/>
          <w:sz w:val="26"/>
          <w:szCs w:val="26"/>
        </w:rPr>
        <w:t>г. №</w:t>
      </w:r>
      <w:r w:rsidR="006731E9">
        <w:rPr>
          <w:color w:val="auto"/>
          <w:sz w:val="26"/>
          <w:szCs w:val="26"/>
        </w:rPr>
        <w:t xml:space="preserve"> 42-124</w:t>
      </w:r>
      <w:r>
        <w:rPr>
          <w:color w:val="auto"/>
          <w:sz w:val="26"/>
          <w:szCs w:val="26"/>
        </w:rPr>
        <w:t xml:space="preserve">«О </w:t>
      </w:r>
      <w:r w:rsidR="00FE1324" w:rsidRPr="00413EEC">
        <w:rPr>
          <w:color w:val="auto"/>
          <w:sz w:val="26"/>
          <w:szCs w:val="26"/>
        </w:rPr>
        <w:t>форме соглашения и методике расчета объемов межбюджетных трансфертов, передаваемых из бюджета</w:t>
      </w:r>
      <w:r w:rsidR="006731E9">
        <w:rPr>
          <w:color w:val="auto"/>
          <w:sz w:val="26"/>
          <w:szCs w:val="26"/>
        </w:rPr>
        <w:t xml:space="preserve"> </w:t>
      </w:r>
      <w:proofErr w:type="spellStart"/>
      <w:r w:rsidR="006731E9">
        <w:rPr>
          <w:color w:val="auto"/>
          <w:sz w:val="26"/>
          <w:szCs w:val="26"/>
        </w:rPr>
        <w:t>Нижнепронгенского</w:t>
      </w:r>
      <w:proofErr w:type="spellEnd"/>
      <w:r w:rsidR="006731E9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сельского </w:t>
      </w:r>
      <w:r w:rsidR="00FE1324" w:rsidRPr="00413EEC">
        <w:rPr>
          <w:color w:val="auto"/>
          <w:sz w:val="26"/>
          <w:szCs w:val="26"/>
        </w:rPr>
        <w:t xml:space="preserve">поселения Николаевского муниципального района в районный бюджет Николаевского муниципального района на осуществление части полномочий </w:t>
      </w:r>
      <w:r w:rsidR="00BF093B" w:rsidRPr="00413EEC">
        <w:rPr>
          <w:color w:val="auto"/>
          <w:sz w:val="26"/>
          <w:szCs w:val="26"/>
        </w:rPr>
        <w:t xml:space="preserve">поселения </w:t>
      </w:r>
      <w:r w:rsidR="006D0375" w:rsidRPr="00413EEC">
        <w:rPr>
          <w:color w:val="auto"/>
          <w:sz w:val="26"/>
          <w:szCs w:val="26"/>
        </w:rPr>
        <w:t>по составлению проекта бюджета поселения, организации исполнения бюджета поселения, осуществлению контроля за его исполнением</w:t>
      </w:r>
      <w:proofErr w:type="gramEnd"/>
      <w:r w:rsidR="006D0375" w:rsidRPr="00413EEC">
        <w:rPr>
          <w:color w:val="auto"/>
          <w:sz w:val="26"/>
          <w:szCs w:val="26"/>
        </w:rPr>
        <w:t xml:space="preserve">, составлению отчета </w:t>
      </w:r>
      <w:r>
        <w:rPr>
          <w:color w:val="auto"/>
          <w:sz w:val="26"/>
          <w:szCs w:val="26"/>
        </w:rPr>
        <w:t>об исполнении бюджета поселения»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6731E9" w:rsidRDefault="00FE1324" w:rsidP="00FE132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413EEC">
        <w:rPr>
          <w:color w:val="auto"/>
          <w:sz w:val="26"/>
          <w:szCs w:val="26"/>
        </w:rPr>
        <w:t>В соответствии со стать</w:t>
      </w:r>
      <w:r w:rsidR="00F96B03" w:rsidRPr="00413EEC">
        <w:rPr>
          <w:color w:val="auto"/>
          <w:sz w:val="26"/>
          <w:szCs w:val="26"/>
        </w:rPr>
        <w:t>ей</w:t>
      </w:r>
      <w:r w:rsidRPr="00413EEC">
        <w:rPr>
          <w:color w:val="auto"/>
          <w:sz w:val="26"/>
          <w:szCs w:val="26"/>
        </w:rPr>
        <w:t xml:space="preserve"> 142.5</w:t>
      </w:r>
      <w:r w:rsidR="006D0375" w:rsidRPr="00413EEC">
        <w:rPr>
          <w:color w:val="auto"/>
          <w:sz w:val="26"/>
          <w:szCs w:val="26"/>
        </w:rPr>
        <w:t xml:space="preserve"> </w:t>
      </w:r>
      <w:r w:rsidRPr="00413EEC">
        <w:rPr>
          <w:color w:val="auto"/>
          <w:sz w:val="26"/>
          <w:szCs w:val="26"/>
        </w:rPr>
        <w:t xml:space="preserve">Бюджетного кодекса Российской Федерации, </w:t>
      </w:r>
      <w:r w:rsidR="006D0375" w:rsidRPr="00413EEC">
        <w:rPr>
          <w:color w:val="auto"/>
          <w:sz w:val="26"/>
          <w:szCs w:val="26"/>
        </w:rPr>
        <w:t>пунктом 4 статьи 15 Федерального закона от 6 октября 2003 г. N 131-ФЗ «Об общих принципах организации местного самоуправления в Российской Федерации»</w:t>
      </w:r>
      <w:r w:rsidR="006731E9">
        <w:rPr>
          <w:color w:val="auto"/>
        </w:rPr>
        <w:t xml:space="preserve">, Уставом </w:t>
      </w:r>
      <w:proofErr w:type="spellStart"/>
      <w:r w:rsidR="006731E9">
        <w:rPr>
          <w:color w:val="auto"/>
        </w:rPr>
        <w:t>Нижнепронгенского</w:t>
      </w:r>
      <w:proofErr w:type="spellEnd"/>
      <w:r w:rsidR="006731E9">
        <w:rPr>
          <w:color w:val="auto"/>
        </w:rPr>
        <w:t xml:space="preserve"> сельского поселения,</w:t>
      </w:r>
    </w:p>
    <w:p w:rsidR="00FE1324" w:rsidRPr="00413EEC" w:rsidRDefault="00921C9A" w:rsidP="00FE132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Совет депутатов </w:t>
      </w:r>
      <w:proofErr w:type="spellStart"/>
      <w:r w:rsidR="006731E9">
        <w:rPr>
          <w:color w:val="auto"/>
          <w:sz w:val="26"/>
          <w:szCs w:val="26"/>
        </w:rPr>
        <w:t>Нижнепронгенского</w:t>
      </w:r>
      <w:proofErr w:type="spellEnd"/>
      <w:r w:rsidR="006731E9">
        <w:rPr>
          <w:color w:val="auto"/>
          <w:sz w:val="26"/>
          <w:szCs w:val="26"/>
        </w:rPr>
        <w:t xml:space="preserve"> </w:t>
      </w:r>
      <w:r w:rsidRPr="00413EEC">
        <w:rPr>
          <w:color w:val="auto"/>
          <w:sz w:val="26"/>
          <w:szCs w:val="26"/>
        </w:rPr>
        <w:t xml:space="preserve"> </w:t>
      </w:r>
      <w:r w:rsidR="004F4AC1">
        <w:rPr>
          <w:color w:val="auto"/>
          <w:sz w:val="26"/>
          <w:szCs w:val="26"/>
        </w:rPr>
        <w:t xml:space="preserve">сельского </w:t>
      </w:r>
      <w:r w:rsidRPr="00413EEC">
        <w:rPr>
          <w:color w:val="auto"/>
          <w:sz w:val="26"/>
          <w:szCs w:val="26"/>
        </w:rPr>
        <w:t>поселения</w:t>
      </w:r>
      <w:r w:rsidR="004F4AC1">
        <w:rPr>
          <w:color w:val="auto"/>
          <w:sz w:val="26"/>
          <w:szCs w:val="26"/>
        </w:rPr>
        <w:t xml:space="preserve"> 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РЕШИЛ:</w:t>
      </w:r>
    </w:p>
    <w:p w:rsidR="00FE1324" w:rsidRDefault="00397DF0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="00FE1324" w:rsidRPr="00413EEC">
        <w:rPr>
          <w:color w:val="auto"/>
          <w:sz w:val="26"/>
          <w:szCs w:val="26"/>
        </w:rPr>
        <w:t xml:space="preserve">. </w:t>
      </w:r>
      <w:r w:rsidR="001D68A9" w:rsidRPr="008850B9">
        <w:rPr>
          <w:color w:val="auto"/>
          <w:sz w:val="26"/>
          <w:szCs w:val="26"/>
        </w:rPr>
        <w:t xml:space="preserve">Внести изменение в Методику расчета объемов межбюджетных трансфертов, передаваемых из бюджета </w:t>
      </w:r>
      <w:proofErr w:type="spellStart"/>
      <w:r w:rsidR="006731E9">
        <w:rPr>
          <w:color w:val="auto"/>
          <w:sz w:val="26"/>
          <w:szCs w:val="26"/>
        </w:rPr>
        <w:t>Нижнепронгенского</w:t>
      </w:r>
      <w:proofErr w:type="spellEnd"/>
      <w:r w:rsidR="001D68A9">
        <w:rPr>
          <w:color w:val="auto"/>
          <w:sz w:val="26"/>
          <w:szCs w:val="26"/>
        </w:rPr>
        <w:t xml:space="preserve"> сельского поселения </w:t>
      </w:r>
      <w:r w:rsidR="001D68A9" w:rsidRPr="008850B9">
        <w:rPr>
          <w:color w:val="auto"/>
          <w:sz w:val="26"/>
          <w:szCs w:val="26"/>
        </w:rPr>
        <w:t xml:space="preserve">в районный бюджет Николаевского муниципального района на осуществление части полномочий </w:t>
      </w:r>
      <w:proofErr w:type="spellStart"/>
      <w:r w:rsidR="006731E9">
        <w:rPr>
          <w:color w:val="auto"/>
          <w:sz w:val="26"/>
          <w:szCs w:val="26"/>
        </w:rPr>
        <w:t>Нижнепронгенского</w:t>
      </w:r>
      <w:proofErr w:type="spellEnd"/>
      <w:r w:rsidR="001D68A9">
        <w:rPr>
          <w:color w:val="auto"/>
          <w:sz w:val="26"/>
          <w:szCs w:val="26"/>
        </w:rPr>
        <w:t xml:space="preserve"> сельского </w:t>
      </w:r>
      <w:r w:rsidR="001D68A9" w:rsidRPr="008850B9">
        <w:rPr>
          <w:color w:val="auto"/>
          <w:sz w:val="26"/>
          <w:szCs w:val="26"/>
        </w:rPr>
        <w:t xml:space="preserve">поселения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поселения, </w:t>
      </w:r>
      <w:proofErr w:type="gramStart"/>
      <w:r w:rsidR="001D68A9" w:rsidRPr="008850B9">
        <w:rPr>
          <w:color w:val="auto"/>
          <w:sz w:val="26"/>
          <w:szCs w:val="26"/>
        </w:rPr>
        <w:t>утвержденную</w:t>
      </w:r>
      <w:proofErr w:type="gramEnd"/>
      <w:r w:rsidR="001D68A9" w:rsidRPr="008850B9">
        <w:rPr>
          <w:color w:val="auto"/>
          <w:sz w:val="26"/>
          <w:szCs w:val="26"/>
        </w:rPr>
        <w:t xml:space="preserve"> решением Совета депутатов </w:t>
      </w:r>
      <w:proofErr w:type="spellStart"/>
      <w:r w:rsidR="006731E9">
        <w:rPr>
          <w:color w:val="auto"/>
          <w:sz w:val="26"/>
          <w:szCs w:val="26"/>
        </w:rPr>
        <w:t>Нижнепронгенского</w:t>
      </w:r>
      <w:proofErr w:type="spellEnd"/>
      <w:r w:rsidR="001D68A9">
        <w:rPr>
          <w:color w:val="auto"/>
          <w:sz w:val="26"/>
          <w:szCs w:val="26"/>
        </w:rPr>
        <w:t xml:space="preserve"> сельского</w:t>
      </w:r>
      <w:r w:rsidR="001D68A9" w:rsidRPr="008850B9">
        <w:rPr>
          <w:color w:val="auto"/>
          <w:sz w:val="26"/>
          <w:szCs w:val="26"/>
        </w:rPr>
        <w:t xml:space="preserve"> поселения от</w:t>
      </w:r>
      <w:r w:rsidR="001D68A9">
        <w:rPr>
          <w:color w:val="auto"/>
          <w:sz w:val="26"/>
          <w:szCs w:val="26"/>
        </w:rPr>
        <w:t xml:space="preserve"> </w:t>
      </w:r>
      <w:r w:rsidR="006731E9">
        <w:rPr>
          <w:color w:val="auto"/>
          <w:sz w:val="26"/>
          <w:szCs w:val="26"/>
        </w:rPr>
        <w:t>17.10.2016</w:t>
      </w:r>
      <w:r w:rsidR="001D68A9">
        <w:rPr>
          <w:color w:val="auto"/>
          <w:sz w:val="26"/>
          <w:szCs w:val="26"/>
        </w:rPr>
        <w:t xml:space="preserve">г. </w:t>
      </w:r>
      <w:r w:rsidR="001D68A9" w:rsidRPr="008850B9">
        <w:rPr>
          <w:color w:val="auto"/>
          <w:sz w:val="26"/>
          <w:szCs w:val="26"/>
        </w:rPr>
        <w:t>№</w:t>
      </w:r>
      <w:r w:rsidR="001D68A9">
        <w:rPr>
          <w:color w:val="auto"/>
          <w:sz w:val="26"/>
          <w:szCs w:val="26"/>
        </w:rPr>
        <w:t xml:space="preserve"> </w:t>
      </w:r>
      <w:r w:rsidR="006731E9">
        <w:rPr>
          <w:color w:val="auto"/>
          <w:sz w:val="26"/>
          <w:szCs w:val="26"/>
        </w:rPr>
        <w:t>42-124</w:t>
      </w:r>
      <w:r w:rsidR="001D68A9">
        <w:rPr>
          <w:color w:val="auto"/>
          <w:sz w:val="26"/>
          <w:szCs w:val="26"/>
        </w:rPr>
        <w:t xml:space="preserve">, </w:t>
      </w:r>
      <w:r w:rsidR="001D68A9" w:rsidRPr="008850B9">
        <w:rPr>
          <w:color w:val="auto"/>
          <w:sz w:val="26"/>
          <w:szCs w:val="26"/>
        </w:rPr>
        <w:t>изложив пункт 3</w:t>
      </w:r>
      <w:r w:rsidR="00EA16F8">
        <w:rPr>
          <w:color w:val="auto"/>
          <w:sz w:val="26"/>
          <w:szCs w:val="26"/>
        </w:rPr>
        <w:t>.</w:t>
      </w:r>
      <w:r w:rsidR="001D68A9" w:rsidRPr="008850B9">
        <w:rPr>
          <w:color w:val="auto"/>
          <w:sz w:val="26"/>
          <w:szCs w:val="26"/>
        </w:rPr>
        <w:t xml:space="preserve"> в следующей редакции:</w:t>
      </w:r>
      <w:r w:rsidR="00FE1324" w:rsidRPr="00413EEC">
        <w:rPr>
          <w:color w:val="auto"/>
          <w:sz w:val="26"/>
          <w:szCs w:val="26"/>
        </w:rPr>
        <w:t xml:space="preserve"> 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</w:t>
      </w:r>
      <w:r w:rsidRPr="00413EEC">
        <w:rPr>
          <w:color w:val="auto"/>
          <w:sz w:val="26"/>
          <w:szCs w:val="26"/>
        </w:rPr>
        <w:t xml:space="preserve">3. Объем межбюджетных трансфертов определяется по следующей </w:t>
      </w:r>
      <w:r>
        <w:rPr>
          <w:color w:val="auto"/>
          <w:sz w:val="26"/>
          <w:szCs w:val="26"/>
        </w:rPr>
        <w:t>ф</w:t>
      </w:r>
      <w:r w:rsidRPr="00413EEC">
        <w:rPr>
          <w:color w:val="auto"/>
          <w:sz w:val="26"/>
          <w:szCs w:val="26"/>
        </w:rPr>
        <w:t>ормуле: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3.1. С = ЗП/ЧП * (</w:t>
      </w:r>
      <w:proofErr w:type="gramStart"/>
      <w:r w:rsidRPr="00413EEC">
        <w:rPr>
          <w:color w:val="auto"/>
          <w:sz w:val="26"/>
          <w:szCs w:val="26"/>
        </w:rPr>
        <w:t>СБ</w:t>
      </w:r>
      <w:proofErr w:type="gramEnd"/>
      <w:r w:rsidRPr="00413EEC">
        <w:rPr>
          <w:color w:val="auto"/>
          <w:sz w:val="26"/>
          <w:szCs w:val="26"/>
        </w:rPr>
        <w:t>+ОИ+ОК+СО)+</w:t>
      </w:r>
      <w:r w:rsidR="004A598B">
        <w:rPr>
          <w:color w:val="auto"/>
          <w:sz w:val="26"/>
          <w:szCs w:val="26"/>
        </w:rPr>
        <w:t>ПР</w:t>
      </w:r>
      <w:r w:rsidRPr="00413EEC">
        <w:rPr>
          <w:color w:val="auto"/>
          <w:sz w:val="26"/>
          <w:szCs w:val="26"/>
        </w:rPr>
        <w:t>, где: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C – объем межбюджетных трансфертов, передаваемых бюджету Николаевского муниципального района из бюджета поселения на осуществление полномочий по составлению проекта бюджета поселения, исполнению бюджета поселения,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 округленный до целых тысяч рублей;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ЗП – стандартные расходы на оплату труда</w:t>
      </w:r>
      <w:r>
        <w:rPr>
          <w:color w:val="auto"/>
          <w:sz w:val="26"/>
          <w:szCs w:val="26"/>
        </w:rPr>
        <w:t>,</w:t>
      </w:r>
      <w:r w:rsidRPr="00413EE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определяются</w:t>
      </w:r>
      <w:r w:rsidRPr="00413EEC">
        <w:rPr>
          <w:color w:val="auto"/>
          <w:sz w:val="26"/>
          <w:szCs w:val="26"/>
        </w:rPr>
        <w:t xml:space="preserve"> исходя из размера годового фонда оплаты труда с начислениями работников финансового управления администрации Николаевского муниципального района, осуществляющих переданные полномочия, в случае обоснованного увеличения денежного содержания данной категории работников размер стандартных расходов на оплату труда подлежит корректировки;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ЧП – количество поселений осуществляющих передачу полномочий по </w:t>
      </w:r>
      <w:r w:rsidRPr="00413EEC">
        <w:rPr>
          <w:color w:val="auto"/>
          <w:sz w:val="26"/>
          <w:szCs w:val="26"/>
        </w:rPr>
        <w:lastRenderedPageBreak/>
        <w:t xml:space="preserve">составлению проекта бюджета поселения, исполнению бюджета поселения, осуществлению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поселения;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413EEC">
        <w:rPr>
          <w:color w:val="auto"/>
          <w:sz w:val="26"/>
          <w:szCs w:val="26"/>
        </w:rPr>
        <w:t>СБ</w:t>
      </w:r>
      <w:proofErr w:type="gramEnd"/>
      <w:r w:rsidRPr="00413EEC">
        <w:rPr>
          <w:color w:val="auto"/>
          <w:sz w:val="26"/>
          <w:szCs w:val="26"/>
        </w:rPr>
        <w:t xml:space="preserve"> – коэффициент объема работ по составлению проекта бюджета поселения;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ОИ – коэффициент объема работ по организации исполнения бюджета поселения;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413EEC">
        <w:rPr>
          <w:color w:val="auto"/>
          <w:sz w:val="26"/>
          <w:szCs w:val="26"/>
        </w:rPr>
        <w:t>ОК</w:t>
      </w:r>
      <w:proofErr w:type="gramEnd"/>
      <w:r w:rsidRPr="00413EEC">
        <w:rPr>
          <w:color w:val="auto"/>
          <w:sz w:val="26"/>
          <w:szCs w:val="26"/>
        </w:rPr>
        <w:t xml:space="preserve"> – коэффициент объема работ по осуществлению контроля за исполнением бюджета поселения;</w:t>
      </w:r>
    </w:p>
    <w:p w:rsidR="00FA26D2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413EEC">
        <w:rPr>
          <w:color w:val="auto"/>
          <w:sz w:val="26"/>
          <w:szCs w:val="26"/>
        </w:rPr>
        <w:t>СО</w:t>
      </w:r>
      <w:proofErr w:type="gramEnd"/>
      <w:r w:rsidRPr="00413EEC">
        <w:rPr>
          <w:color w:val="auto"/>
          <w:sz w:val="26"/>
          <w:szCs w:val="26"/>
        </w:rPr>
        <w:t xml:space="preserve"> – коэффициент объема работ по составлению отчета об исполнении бюджета поселения</w:t>
      </w:r>
      <w:r>
        <w:rPr>
          <w:color w:val="auto"/>
          <w:sz w:val="26"/>
          <w:szCs w:val="26"/>
        </w:rPr>
        <w:t>.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F65B01">
        <w:rPr>
          <w:color w:val="auto"/>
        </w:rPr>
        <w:t xml:space="preserve"> 3.2. </w:t>
      </w:r>
      <w:r w:rsidRPr="00F65B01">
        <w:rPr>
          <w:color w:val="auto"/>
          <w:sz w:val="26"/>
          <w:szCs w:val="26"/>
        </w:rPr>
        <w:t>Коэффициенты объема работ (СБ</w:t>
      </w:r>
      <w:proofErr w:type="gramStart"/>
      <w:r w:rsidRPr="00F65B01">
        <w:rPr>
          <w:color w:val="auto"/>
          <w:sz w:val="26"/>
          <w:szCs w:val="26"/>
        </w:rPr>
        <w:t>,О</w:t>
      </w:r>
      <w:proofErr w:type="gramEnd"/>
      <w:r w:rsidRPr="00F65B01">
        <w:rPr>
          <w:color w:val="auto"/>
          <w:sz w:val="26"/>
          <w:szCs w:val="26"/>
        </w:rPr>
        <w:t xml:space="preserve">И,ОК,СО), определены исходя из </w:t>
      </w:r>
      <w:r w:rsidRPr="00DB2AC0">
        <w:rPr>
          <w:color w:val="auto"/>
          <w:sz w:val="26"/>
          <w:szCs w:val="26"/>
        </w:rPr>
        <w:t>объема расходной части бюджета поселения, передавшего полномочия и установлены в размерах, равных: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- для первой группы поселений, объем расходной части бюджета которых, в текущем году, не превышает 2,00 млн. рублей;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СБ</w:t>
      </w:r>
      <w:proofErr w:type="gramEnd"/>
      <w:r w:rsidRPr="00DB2AC0">
        <w:rPr>
          <w:color w:val="auto"/>
          <w:sz w:val="26"/>
          <w:szCs w:val="26"/>
        </w:rPr>
        <w:t xml:space="preserve"> – «0,2»,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ОИ – «0,2»,</w:t>
      </w:r>
    </w:p>
    <w:p w:rsidR="00FA26D2" w:rsidRPr="00DB2AC0" w:rsidRDefault="00A87B7D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ОК</w:t>
      </w:r>
      <w:proofErr w:type="gramEnd"/>
      <w:r>
        <w:rPr>
          <w:color w:val="auto"/>
          <w:sz w:val="26"/>
          <w:szCs w:val="26"/>
        </w:rPr>
        <w:t xml:space="preserve"> – «0,01</w:t>
      </w:r>
      <w:r w:rsidR="00FA26D2" w:rsidRPr="00DB2AC0">
        <w:rPr>
          <w:color w:val="auto"/>
          <w:sz w:val="26"/>
          <w:szCs w:val="26"/>
        </w:rPr>
        <w:t>»,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СО – «0,2»;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 xml:space="preserve">- для второй группы поселений, объем расходной части бюджета которых, в текущем году, </w:t>
      </w:r>
      <w:r>
        <w:rPr>
          <w:color w:val="auto"/>
          <w:sz w:val="26"/>
          <w:szCs w:val="26"/>
        </w:rPr>
        <w:t xml:space="preserve">более 2 млн. рублей и </w:t>
      </w:r>
      <w:r w:rsidRPr="00DB2AC0">
        <w:rPr>
          <w:color w:val="auto"/>
          <w:sz w:val="26"/>
          <w:szCs w:val="26"/>
        </w:rPr>
        <w:t>не превышает 10,00 млн. рублей;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СБ</w:t>
      </w:r>
      <w:proofErr w:type="gramEnd"/>
      <w:r w:rsidRPr="00DB2AC0">
        <w:rPr>
          <w:color w:val="auto"/>
          <w:sz w:val="26"/>
          <w:szCs w:val="26"/>
        </w:rPr>
        <w:t xml:space="preserve"> – «0,3»,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ОИ – «0,4»,</w:t>
      </w:r>
    </w:p>
    <w:p w:rsidR="00FA26D2" w:rsidRPr="00DB2AC0" w:rsidRDefault="00A87B7D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ОК</w:t>
      </w:r>
      <w:proofErr w:type="gramEnd"/>
      <w:r>
        <w:rPr>
          <w:color w:val="auto"/>
          <w:sz w:val="26"/>
          <w:szCs w:val="26"/>
        </w:rPr>
        <w:t xml:space="preserve"> – «0,05</w:t>
      </w:r>
      <w:r w:rsidR="00FA26D2" w:rsidRPr="00DB2AC0">
        <w:rPr>
          <w:color w:val="auto"/>
          <w:sz w:val="26"/>
          <w:szCs w:val="26"/>
        </w:rPr>
        <w:t>»,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СО – «0,3»;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- для третьей группы поселений, объем расходной части бюджета которых, в текущем году, свыше 10,00 млн. рублей;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2AC0">
        <w:rPr>
          <w:color w:val="auto"/>
          <w:sz w:val="26"/>
          <w:szCs w:val="26"/>
        </w:rPr>
        <w:t>СБ</w:t>
      </w:r>
      <w:proofErr w:type="gramEnd"/>
      <w:r w:rsidRPr="00DB2AC0">
        <w:rPr>
          <w:color w:val="auto"/>
          <w:sz w:val="26"/>
          <w:szCs w:val="26"/>
        </w:rPr>
        <w:t xml:space="preserve"> – «0,4»,</w:t>
      </w:r>
    </w:p>
    <w:p w:rsidR="00FA26D2" w:rsidRPr="00DB2AC0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ОИ – «0,5»,</w:t>
      </w:r>
    </w:p>
    <w:p w:rsidR="00FA26D2" w:rsidRPr="00DB2AC0" w:rsidRDefault="00A87B7D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ОК</w:t>
      </w:r>
      <w:proofErr w:type="gramEnd"/>
      <w:r>
        <w:rPr>
          <w:color w:val="auto"/>
          <w:sz w:val="26"/>
          <w:szCs w:val="26"/>
        </w:rPr>
        <w:t xml:space="preserve"> – «0,15</w:t>
      </w:r>
      <w:r w:rsidR="00FA26D2" w:rsidRPr="00DB2AC0">
        <w:rPr>
          <w:color w:val="auto"/>
          <w:sz w:val="26"/>
          <w:szCs w:val="26"/>
        </w:rPr>
        <w:t>»,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2AC0">
        <w:rPr>
          <w:color w:val="auto"/>
          <w:sz w:val="26"/>
          <w:szCs w:val="26"/>
        </w:rPr>
        <w:t>СО – «0,4»;</w:t>
      </w:r>
    </w:p>
    <w:p w:rsidR="001D68A9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3.3. </w:t>
      </w:r>
      <w:proofErr w:type="gramStart"/>
      <w:r w:rsidR="004A598B">
        <w:rPr>
          <w:color w:val="auto"/>
          <w:sz w:val="26"/>
          <w:szCs w:val="26"/>
        </w:rPr>
        <w:t>ПР</w:t>
      </w:r>
      <w:proofErr w:type="gramEnd"/>
      <w:r w:rsidRPr="00DB2AC0">
        <w:rPr>
          <w:color w:val="auto"/>
          <w:sz w:val="26"/>
          <w:szCs w:val="26"/>
        </w:rPr>
        <w:t xml:space="preserve"> –</w:t>
      </w:r>
      <w:r w:rsidR="00A87B7D">
        <w:rPr>
          <w:color w:val="auto"/>
          <w:sz w:val="26"/>
          <w:szCs w:val="26"/>
        </w:rPr>
        <w:t xml:space="preserve"> </w:t>
      </w:r>
      <w:r w:rsidR="004A598B">
        <w:rPr>
          <w:color w:val="auto"/>
          <w:sz w:val="26"/>
          <w:szCs w:val="26"/>
        </w:rPr>
        <w:t xml:space="preserve">прочие расходы  включают в себя приобретение нематериальных активов (оборудование, производственный и хозяйственный инвентарь, материальные запасы), расходы на приобретение услуг связи и других услуг, расходы на служебные командировки, расходы на оплату проезда в отпуск </w:t>
      </w:r>
      <w:r>
        <w:rPr>
          <w:color w:val="auto"/>
          <w:sz w:val="26"/>
          <w:szCs w:val="26"/>
        </w:rPr>
        <w:t xml:space="preserve">и составляют 0,5-35 </w:t>
      </w:r>
      <w:r w:rsidRPr="00DB2AC0">
        <w:rPr>
          <w:color w:val="auto"/>
          <w:sz w:val="26"/>
          <w:szCs w:val="26"/>
        </w:rPr>
        <w:t>% от отношения стандартных расходов на оплату труда к количеству поселений осуществляющих передачу полномочий</w:t>
      </w:r>
      <w:r>
        <w:rPr>
          <w:color w:val="auto"/>
          <w:sz w:val="26"/>
          <w:szCs w:val="26"/>
        </w:rPr>
        <w:t>.».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 </w:t>
      </w:r>
      <w:r w:rsidR="00D33BCE">
        <w:rPr>
          <w:color w:val="auto"/>
          <w:sz w:val="26"/>
          <w:szCs w:val="26"/>
        </w:rPr>
        <w:t xml:space="preserve">Опубликовать настоящее решение в Сборнике нормативно-правовых актов </w:t>
      </w:r>
      <w:proofErr w:type="spellStart"/>
      <w:r w:rsidR="006731E9">
        <w:rPr>
          <w:color w:val="auto"/>
          <w:sz w:val="26"/>
          <w:szCs w:val="26"/>
        </w:rPr>
        <w:t>Нижнепронгенского</w:t>
      </w:r>
      <w:proofErr w:type="spellEnd"/>
      <w:r w:rsidR="006731E9">
        <w:rPr>
          <w:color w:val="auto"/>
          <w:sz w:val="26"/>
          <w:szCs w:val="26"/>
        </w:rPr>
        <w:t xml:space="preserve"> </w:t>
      </w:r>
      <w:r w:rsidR="00D33BCE">
        <w:rPr>
          <w:color w:val="auto"/>
          <w:sz w:val="26"/>
          <w:szCs w:val="26"/>
        </w:rPr>
        <w:t xml:space="preserve"> сельского поселения Николаевского муниципального района.</w:t>
      </w:r>
    </w:p>
    <w:p w:rsidR="00FA26D2" w:rsidRPr="00413EEC" w:rsidRDefault="00FA26D2" w:rsidP="00FA26D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413EEC">
        <w:rPr>
          <w:color w:val="auto"/>
          <w:sz w:val="26"/>
          <w:szCs w:val="26"/>
        </w:rPr>
        <w:t xml:space="preserve">. Настоящее решение вступает в силу </w:t>
      </w:r>
      <w:r>
        <w:rPr>
          <w:color w:val="auto"/>
          <w:sz w:val="26"/>
          <w:szCs w:val="26"/>
        </w:rPr>
        <w:t>после</w:t>
      </w:r>
      <w:r w:rsidRPr="00413EEC">
        <w:rPr>
          <w:color w:val="auto"/>
          <w:sz w:val="26"/>
          <w:szCs w:val="26"/>
        </w:rPr>
        <w:t xml:space="preserve"> его официального опубликования</w:t>
      </w:r>
      <w:r w:rsidR="00F80E32">
        <w:rPr>
          <w:color w:val="auto"/>
          <w:sz w:val="26"/>
          <w:szCs w:val="26"/>
        </w:rPr>
        <w:t xml:space="preserve"> и распространяется на правоотношения, возникшие с 1 января 2017 года.</w:t>
      </w:r>
    </w:p>
    <w:p w:rsidR="00FE1324" w:rsidRDefault="00FE1324" w:rsidP="008A2E70">
      <w:pPr>
        <w:widowControl w:val="0"/>
        <w:autoSpaceDE w:val="0"/>
        <w:autoSpaceDN w:val="0"/>
        <w:adjustRightInd w:val="0"/>
        <w:spacing w:line="192" w:lineRule="auto"/>
        <w:ind w:firstLine="708"/>
        <w:rPr>
          <w:color w:val="auto"/>
          <w:sz w:val="26"/>
          <w:szCs w:val="26"/>
        </w:rPr>
      </w:pPr>
    </w:p>
    <w:p w:rsidR="0092741D" w:rsidRPr="00413EEC" w:rsidRDefault="0092741D" w:rsidP="008A2E70">
      <w:pPr>
        <w:widowControl w:val="0"/>
        <w:autoSpaceDE w:val="0"/>
        <w:autoSpaceDN w:val="0"/>
        <w:adjustRightInd w:val="0"/>
        <w:spacing w:line="192" w:lineRule="auto"/>
        <w:ind w:firstLine="708"/>
        <w:rPr>
          <w:color w:val="auto"/>
          <w:sz w:val="26"/>
          <w:szCs w:val="26"/>
        </w:rPr>
      </w:pPr>
      <w:bookmarkStart w:id="0" w:name="_GoBack"/>
      <w:bookmarkEnd w:id="0"/>
    </w:p>
    <w:p w:rsidR="00FE1324" w:rsidRDefault="006731E9" w:rsidP="008A2E70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Глава сельского поселения,</w:t>
      </w:r>
    </w:p>
    <w:p w:rsidR="00FE1324" w:rsidRPr="00413EEC" w:rsidRDefault="006731E9" w:rsidP="008A2E70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Председатель Совета депутатов                                                                 А.Б. Миньков</w:t>
      </w:r>
    </w:p>
    <w:sectPr w:rsidR="00FE1324" w:rsidRPr="00413EEC" w:rsidSect="008A2E70">
      <w:headerReference w:type="default" r:id="rId9"/>
      <w:pgSz w:w="11906" w:h="16838"/>
      <w:pgMar w:top="1134" w:right="567" w:bottom="1134" w:left="1985" w:header="709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32" w:rsidRDefault="001F0732" w:rsidP="00956337">
      <w:r>
        <w:separator/>
      </w:r>
    </w:p>
  </w:endnote>
  <w:endnote w:type="continuationSeparator" w:id="0">
    <w:p w:rsidR="001F0732" w:rsidRDefault="001F0732" w:rsidP="0095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32" w:rsidRDefault="001F0732" w:rsidP="00956337">
      <w:r>
        <w:separator/>
      </w:r>
    </w:p>
  </w:footnote>
  <w:footnote w:type="continuationSeparator" w:id="0">
    <w:p w:rsidR="001F0732" w:rsidRDefault="001F0732" w:rsidP="0095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137162"/>
      <w:docPartObj>
        <w:docPartGallery w:val="Page Numbers (Top of Page)"/>
        <w:docPartUnique/>
      </w:docPartObj>
    </w:sdtPr>
    <w:sdtEndPr/>
    <w:sdtContent>
      <w:p w:rsidR="008A2E70" w:rsidRDefault="008A2E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41D">
          <w:rPr>
            <w:noProof/>
          </w:rPr>
          <w:t>2</w:t>
        </w:r>
        <w:r>
          <w:fldChar w:fldCharType="end"/>
        </w:r>
      </w:p>
    </w:sdtContent>
  </w:sdt>
  <w:p w:rsidR="008A2E70" w:rsidRDefault="008A2E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74A"/>
    <w:multiLevelType w:val="multilevel"/>
    <w:tmpl w:val="9642F4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5DC7EB8"/>
    <w:multiLevelType w:val="hybridMultilevel"/>
    <w:tmpl w:val="522E2052"/>
    <w:lvl w:ilvl="0" w:tplc="93FC9E0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7DE7425"/>
    <w:multiLevelType w:val="multilevel"/>
    <w:tmpl w:val="F9C81D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>
    <w:nsid w:val="4FD602BB"/>
    <w:multiLevelType w:val="hybridMultilevel"/>
    <w:tmpl w:val="ACE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63AA"/>
    <w:multiLevelType w:val="hybridMultilevel"/>
    <w:tmpl w:val="7814F322"/>
    <w:lvl w:ilvl="0" w:tplc="7FA2E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F"/>
    <w:rsid w:val="000010DD"/>
    <w:rsid w:val="0000551E"/>
    <w:rsid w:val="00022EE9"/>
    <w:rsid w:val="0003247A"/>
    <w:rsid w:val="00061197"/>
    <w:rsid w:val="000638C4"/>
    <w:rsid w:val="00093A3F"/>
    <w:rsid w:val="000B405C"/>
    <w:rsid w:val="000C21D3"/>
    <w:rsid w:val="000E0F4F"/>
    <w:rsid w:val="000F1828"/>
    <w:rsid w:val="000F73BB"/>
    <w:rsid w:val="00131564"/>
    <w:rsid w:val="00134C8A"/>
    <w:rsid w:val="00150118"/>
    <w:rsid w:val="00152BD1"/>
    <w:rsid w:val="00152CC7"/>
    <w:rsid w:val="001550E7"/>
    <w:rsid w:val="00161B59"/>
    <w:rsid w:val="00182573"/>
    <w:rsid w:val="00184820"/>
    <w:rsid w:val="00193E4D"/>
    <w:rsid w:val="001A5854"/>
    <w:rsid w:val="001D68A9"/>
    <w:rsid w:val="001E55ED"/>
    <w:rsid w:val="001F0732"/>
    <w:rsid w:val="001F2EF3"/>
    <w:rsid w:val="00211877"/>
    <w:rsid w:val="00232302"/>
    <w:rsid w:val="002376CB"/>
    <w:rsid w:val="0024355C"/>
    <w:rsid w:val="00266519"/>
    <w:rsid w:val="00293DDF"/>
    <w:rsid w:val="002A4650"/>
    <w:rsid w:val="002D3484"/>
    <w:rsid w:val="0030697F"/>
    <w:rsid w:val="00313C4D"/>
    <w:rsid w:val="00313EAA"/>
    <w:rsid w:val="00321A9B"/>
    <w:rsid w:val="00327A9F"/>
    <w:rsid w:val="00352D16"/>
    <w:rsid w:val="00356413"/>
    <w:rsid w:val="00362671"/>
    <w:rsid w:val="00380D1F"/>
    <w:rsid w:val="00382A24"/>
    <w:rsid w:val="00385375"/>
    <w:rsid w:val="00385A4A"/>
    <w:rsid w:val="00387963"/>
    <w:rsid w:val="00394ECC"/>
    <w:rsid w:val="00397DF0"/>
    <w:rsid w:val="003A6047"/>
    <w:rsid w:val="003A655A"/>
    <w:rsid w:val="003D0669"/>
    <w:rsid w:val="004033C4"/>
    <w:rsid w:val="0040521E"/>
    <w:rsid w:val="00413EEC"/>
    <w:rsid w:val="00422824"/>
    <w:rsid w:val="0043642A"/>
    <w:rsid w:val="00460324"/>
    <w:rsid w:val="00460868"/>
    <w:rsid w:val="00463DF8"/>
    <w:rsid w:val="00482DB2"/>
    <w:rsid w:val="004A285B"/>
    <w:rsid w:val="004A29D1"/>
    <w:rsid w:val="004A598B"/>
    <w:rsid w:val="004C43C5"/>
    <w:rsid w:val="004D3EE4"/>
    <w:rsid w:val="004D3FA3"/>
    <w:rsid w:val="004D6B21"/>
    <w:rsid w:val="004F4AC1"/>
    <w:rsid w:val="004F7E4B"/>
    <w:rsid w:val="0051202C"/>
    <w:rsid w:val="00527D8D"/>
    <w:rsid w:val="005323ED"/>
    <w:rsid w:val="00550AFB"/>
    <w:rsid w:val="00551584"/>
    <w:rsid w:val="0056135B"/>
    <w:rsid w:val="005664BF"/>
    <w:rsid w:val="005D3F6C"/>
    <w:rsid w:val="005D78C7"/>
    <w:rsid w:val="005E3484"/>
    <w:rsid w:val="00610089"/>
    <w:rsid w:val="00622638"/>
    <w:rsid w:val="006269F7"/>
    <w:rsid w:val="006278D1"/>
    <w:rsid w:val="006438C8"/>
    <w:rsid w:val="006447EC"/>
    <w:rsid w:val="0065101D"/>
    <w:rsid w:val="006731E9"/>
    <w:rsid w:val="00691D38"/>
    <w:rsid w:val="00695A6E"/>
    <w:rsid w:val="006A11B7"/>
    <w:rsid w:val="006A3D97"/>
    <w:rsid w:val="006A57B1"/>
    <w:rsid w:val="006C0A03"/>
    <w:rsid w:val="006D0375"/>
    <w:rsid w:val="006D5D15"/>
    <w:rsid w:val="006E3AEE"/>
    <w:rsid w:val="006E665A"/>
    <w:rsid w:val="006F04D9"/>
    <w:rsid w:val="0070042B"/>
    <w:rsid w:val="0070716E"/>
    <w:rsid w:val="00710B10"/>
    <w:rsid w:val="00716707"/>
    <w:rsid w:val="00717C71"/>
    <w:rsid w:val="00721CFD"/>
    <w:rsid w:val="00774A3E"/>
    <w:rsid w:val="00784CED"/>
    <w:rsid w:val="007A732B"/>
    <w:rsid w:val="007B0AAC"/>
    <w:rsid w:val="007B12DE"/>
    <w:rsid w:val="007B1A9C"/>
    <w:rsid w:val="007D0BC4"/>
    <w:rsid w:val="007E143D"/>
    <w:rsid w:val="007E5D6C"/>
    <w:rsid w:val="007F2BD2"/>
    <w:rsid w:val="007F3E4B"/>
    <w:rsid w:val="007F77F7"/>
    <w:rsid w:val="0081394C"/>
    <w:rsid w:val="00817691"/>
    <w:rsid w:val="008308D6"/>
    <w:rsid w:val="0083415D"/>
    <w:rsid w:val="00836B23"/>
    <w:rsid w:val="00852D91"/>
    <w:rsid w:val="008671B5"/>
    <w:rsid w:val="00880285"/>
    <w:rsid w:val="00882D20"/>
    <w:rsid w:val="00883A9F"/>
    <w:rsid w:val="008A2E70"/>
    <w:rsid w:val="008B1247"/>
    <w:rsid w:val="008D374E"/>
    <w:rsid w:val="009004E7"/>
    <w:rsid w:val="00907673"/>
    <w:rsid w:val="00921C9A"/>
    <w:rsid w:val="009241C6"/>
    <w:rsid w:val="00924D1B"/>
    <w:rsid w:val="0092741D"/>
    <w:rsid w:val="00956337"/>
    <w:rsid w:val="0098065D"/>
    <w:rsid w:val="00982239"/>
    <w:rsid w:val="0098669C"/>
    <w:rsid w:val="0099351D"/>
    <w:rsid w:val="009D6C49"/>
    <w:rsid w:val="00A03F35"/>
    <w:rsid w:val="00A04BB2"/>
    <w:rsid w:val="00A04CC5"/>
    <w:rsid w:val="00A4102F"/>
    <w:rsid w:val="00A42120"/>
    <w:rsid w:val="00A661FF"/>
    <w:rsid w:val="00A82D2B"/>
    <w:rsid w:val="00A87B7D"/>
    <w:rsid w:val="00A9355B"/>
    <w:rsid w:val="00AB6F1F"/>
    <w:rsid w:val="00AD5F24"/>
    <w:rsid w:val="00AE2E6D"/>
    <w:rsid w:val="00B06940"/>
    <w:rsid w:val="00B12F7E"/>
    <w:rsid w:val="00B80EFF"/>
    <w:rsid w:val="00B8303F"/>
    <w:rsid w:val="00B8574D"/>
    <w:rsid w:val="00B917FE"/>
    <w:rsid w:val="00BA36A0"/>
    <w:rsid w:val="00BB12B1"/>
    <w:rsid w:val="00BD7939"/>
    <w:rsid w:val="00BE110E"/>
    <w:rsid w:val="00BF093B"/>
    <w:rsid w:val="00BF1A1C"/>
    <w:rsid w:val="00BF1FD0"/>
    <w:rsid w:val="00BF4EEA"/>
    <w:rsid w:val="00BF7015"/>
    <w:rsid w:val="00C05C6B"/>
    <w:rsid w:val="00C12F06"/>
    <w:rsid w:val="00C147D1"/>
    <w:rsid w:val="00C410AA"/>
    <w:rsid w:val="00C52D01"/>
    <w:rsid w:val="00C55023"/>
    <w:rsid w:val="00C625BB"/>
    <w:rsid w:val="00C708E3"/>
    <w:rsid w:val="00C773E1"/>
    <w:rsid w:val="00C87DA1"/>
    <w:rsid w:val="00C97A48"/>
    <w:rsid w:val="00CB4532"/>
    <w:rsid w:val="00CB7EA7"/>
    <w:rsid w:val="00CC2017"/>
    <w:rsid w:val="00CD0827"/>
    <w:rsid w:val="00CD1438"/>
    <w:rsid w:val="00CD422C"/>
    <w:rsid w:val="00D25A50"/>
    <w:rsid w:val="00D314A7"/>
    <w:rsid w:val="00D33BCE"/>
    <w:rsid w:val="00D41D4F"/>
    <w:rsid w:val="00D44381"/>
    <w:rsid w:val="00D614A3"/>
    <w:rsid w:val="00D77DFC"/>
    <w:rsid w:val="00D8088E"/>
    <w:rsid w:val="00DB21C9"/>
    <w:rsid w:val="00DB2AC0"/>
    <w:rsid w:val="00DE2106"/>
    <w:rsid w:val="00DE33B8"/>
    <w:rsid w:val="00DF4FC7"/>
    <w:rsid w:val="00E114D9"/>
    <w:rsid w:val="00E21E51"/>
    <w:rsid w:val="00E279E4"/>
    <w:rsid w:val="00E309C1"/>
    <w:rsid w:val="00E50D05"/>
    <w:rsid w:val="00E640E2"/>
    <w:rsid w:val="00E9358D"/>
    <w:rsid w:val="00E94D08"/>
    <w:rsid w:val="00EA16F8"/>
    <w:rsid w:val="00EA408B"/>
    <w:rsid w:val="00EA61EF"/>
    <w:rsid w:val="00EB6610"/>
    <w:rsid w:val="00ED1024"/>
    <w:rsid w:val="00EE7488"/>
    <w:rsid w:val="00EF2E30"/>
    <w:rsid w:val="00F066F6"/>
    <w:rsid w:val="00F07954"/>
    <w:rsid w:val="00F35629"/>
    <w:rsid w:val="00F35EBB"/>
    <w:rsid w:val="00F44664"/>
    <w:rsid w:val="00F52E87"/>
    <w:rsid w:val="00F67BEF"/>
    <w:rsid w:val="00F70D67"/>
    <w:rsid w:val="00F80E32"/>
    <w:rsid w:val="00F8398E"/>
    <w:rsid w:val="00F90D01"/>
    <w:rsid w:val="00F96B03"/>
    <w:rsid w:val="00FA0D21"/>
    <w:rsid w:val="00FA26D2"/>
    <w:rsid w:val="00FA5AAE"/>
    <w:rsid w:val="00FC3243"/>
    <w:rsid w:val="00FC7A1D"/>
    <w:rsid w:val="00FD7B3A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1409-961E-46DE-9E4F-7B7BF56A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Николаевского муниципального р-на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NPUser_1</cp:lastModifiedBy>
  <cp:revision>83</cp:revision>
  <cp:lastPrinted>2017-12-24T23:24:00Z</cp:lastPrinted>
  <dcterms:created xsi:type="dcterms:W3CDTF">2015-11-05T01:34:00Z</dcterms:created>
  <dcterms:modified xsi:type="dcterms:W3CDTF">2018-01-11T01:42:00Z</dcterms:modified>
</cp:coreProperties>
</file>